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6A803" w14:textId="77777777" w:rsidR="00061B6E" w:rsidRDefault="00061B6E">
      <w:pPr>
        <w:pStyle w:val="chaphead"/>
      </w:pPr>
      <w:r>
        <w:rPr>
          <w:b w:val="0"/>
        </w:rPr>
        <w:t>Section 6</w:t>
      </w:r>
      <w:r>
        <w:rPr>
          <w:b w:val="0"/>
        </w:rPr>
        <w:br/>
      </w:r>
      <w:r>
        <w:t>Pre-Listing Statements</w:t>
      </w:r>
    </w:p>
    <w:p w14:paraId="00D83CBB" w14:textId="77777777" w:rsidR="00061B6E" w:rsidRDefault="00061B6E">
      <w:pPr>
        <w:pStyle w:val="NormalText"/>
        <w:spacing w:before="600"/>
        <w:rPr>
          <w:b/>
        </w:rPr>
      </w:pPr>
      <w:r>
        <w:rPr>
          <w:b/>
        </w:rPr>
        <w:t>Scope of section</w:t>
      </w:r>
    </w:p>
    <w:p w14:paraId="029E89E9" w14:textId="77777777" w:rsidR="00061B6E" w:rsidRDefault="00061B6E">
      <w:pPr>
        <w:pStyle w:val="parafullout"/>
      </w:pPr>
      <w:r>
        <w:t>This section sets out the requirements relating to pre-listing statements and prospectuses that are issued in lieu of pre-listing statements. When a new applicant or issuer issues a prospectus, the presumption is made that, apart from compliance with the Act, such prospectus will also comply with and contain all necessary disclosures as if it were a pre-listing statement subject to compliance with the Listings Requirements. For the purposes of this section any reference to a pre-listing statement includes reference to a prospectus.</w:t>
      </w:r>
    </w:p>
    <w:p w14:paraId="171D5710" w14:textId="77777777" w:rsidR="00061B6E" w:rsidRDefault="00061B6E">
      <w:pPr>
        <w:pStyle w:val="parafullout"/>
        <w:spacing w:after="120"/>
      </w:pPr>
      <w:r>
        <w:t>The main headings of this section are: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061B6E" w14:paraId="1C3D2470" w14:textId="77777777">
        <w:trPr>
          <w:jc w:val="center"/>
        </w:trPr>
        <w:tc>
          <w:tcPr>
            <w:tcW w:w="7938" w:type="dxa"/>
          </w:tcPr>
          <w:p w14:paraId="5BA1AE41" w14:textId="77777777" w:rsidR="00061B6E" w:rsidRDefault="00061B6E">
            <w:pPr>
              <w:pStyle w:val="contents"/>
              <w:spacing w:before="0"/>
              <w:jc w:val="left"/>
            </w:pPr>
            <w:r>
              <w:t>6.1</w:t>
            </w:r>
            <w:r>
              <w:tab/>
              <w:t>Requirement for pre-listing statements</w:t>
            </w:r>
          </w:p>
          <w:p w14:paraId="64A6CFF6" w14:textId="77777777" w:rsidR="00061B6E" w:rsidRDefault="00061B6E">
            <w:pPr>
              <w:pStyle w:val="contents"/>
              <w:spacing w:before="0"/>
              <w:jc w:val="left"/>
            </w:pPr>
            <w:r>
              <w:t>6.2</w:t>
            </w:r>
            <w:r>
              <w:tab/>
              <w:t>Responsibility</w:t>
            </w:r>
          </w:p>
          <w:p w14:paraId="6E84F884" w14:textId="77777777" w:rsidR="00061B6E" w:rsidRDefault="00061B6E">
            <w:pPr>
              <w:pStyle w:val="contents"/>
              <w:spacing w:before="0"/>
              <w:jc w:val="left"/>
            </w:pPr>
            <w:r>
              <w:t>6.6</w:t>
            </w:r>
            <w:r>
              <w:tab/>
              <w:t>Form and content</w:t>
            </w:r>
          </w:p>
          <w:p w14:paraId="7E3ECC39" w14:textId="77777777" w:rsidR="00061B6E" w:rsidRDefault="00061B6E">
            <w:pPr>
              <w:pStyle w:val="contents"/>
              <w:spacing w:before="0"/>
              <w:jc w:val="left"/>
            </w:pPr>
            <w:r>
              <w:t>6.11</w:t>
            </w:r>
            <w:r>
              <w:tab/>
              <w:t>Formal approval</w:t>
            </w:r>
          </w:p>
          <w:p w14:paraId="4A2D92AE" w14:textId="77777777" w:rsidR="00061B6E" w:rsidRDefault="00061B6E">
            <w:pPr>
              <w:pStyle w:val="contents"/>
              <w:spacing w:before="0"/>
              <w:jc w:val="left"/>
            </w:pPr>
            <w:r>
              <w:t>6.13</w:t>
            </w:r>
            <w:r>
              <w:tab/>
              <w:t>Supplementary pre-listing statements</w:t>
            </w:r>
          </w:p>
          <w:p w14:paraId="5160ED4F" w14:textId="77777777" w:rsidR="00061B6E" w:rsidRDefault="00061B6E">
            <w:pPr>
              <w:pStyle w:val="contents"/>
              <w:spacing w:before="0"/>
              <w:jc w:val="left"/>
            </w:pPr>
            <w:r>
              <w:t>6.15</w:t>
            </w:r>
            <w:r>
              <w:tab/>
              <w:t>Omission of information</w:t>
            </w:r>
          </w:p>
          <w:p w14:paraId="0E7CD036" w14:textId="77777777" w:rsidR="00061B6E" w:rsidRDefault="00061B6E">
            <w:pPr>
              <w:pStyle w:val="contents"/>
              <w:spacing w:before="0"/>
              <w:jc w:val="left"/>
            </w:pPr>
            <w:r>
              <w:t>6.18</w:t>
            </w:r>
            <w:r>
              <w:tab/>
              <w:t>Omission of material contracts from disclosure</w:t>
            </w:r>
          </w:p>
          <w:p w14:paraId="654C594B" w14:textId="77777777" w:rsidR="00061B6E" w:rsidRDefault="00061B6E">
            <w:pPr>
              <w:pStyle w:val="contents"/>
              <w:spacing w:before="0"/>
              <w:jc w:val="left"/>
            </w:pPr>
            <w:r>
              <w:t>6.19</w:t>
            </w:r>
            <w:r>
              <w:tab/>
              <w:t xml:space="preserve">Issues not requiring pre-listing </w:t>
            </w:r>
            <w:proofErr w:type="gramStart"/>
            <w:r>
              <w:t>statements</w:t>
            </w:r>
            <w:proofErr w:type="gramEnd"/>
          </w:p>
          <w:p w14:paraId="3D0A7C7F" w14:textId="77777777" w:rsidR="00061B6E" w:rsidRDefault="00061B6E">
            <w:pPr>
              <w:pStyle w:val="contents"/>
              <w:spacing w:before="0"/>
              <w:jc w:val="left"/>
            </w:pPr>
            <w:r>
              <w:t>6.21</w:t>
            </w:r>
            <w:r>
              <w:tab/>
              <w:t>Acquisition issues</w:t>
            </w:r>
          </w:p>
          <w:p w14:paraId="5656DD57" w14:textId="77777777" w:rsidR="00061B6E" w:rsidRDefault="00061B6E">
            <w:pPr>
              <w:pStyle w:val="contents"/>
              <w:spacing w:before="0"/>
              <w:jc w:val="left"/>
            </w:pPr>
            <w:r>
              <w:t>6.23</w:t>
            </w:r>
            <w:r>
              <w:tab/>
              <w:t>Publication/circulation of pre-listing statements</w:t>
            </w:r>
          </w:p>
          <w:p w14:paraId="5D763E33" w14:textId="77777777" w:rsidR="00061B6E" w:rsidRDefault="00061B6E">
            <w:pPr>
              <w:pStyle w:val="contents"/>
              <w:spacing w:before="0"/>
              <w:jc w:val="left"/>
            </w:pPr>
            <w:r>
              <w:t>6.24</w:t>
            </w:r>
            <w:r>
              <w:tab/>
              <w:t>Revised take-over offers</w:t>
            </w:r>
          </w:p>
        </w:tc>
      </w:tr>
    </w:tbl>
    <w:p w14:paraId="70ABA477" w14:textId="77777777" w:rsidR="00061B6E" w:rsidRDefault="00061B6E">
      <w:pPr>
        <w:pStyle w:val="parafullout"/>
      </w:pPr>
      <w:r>
        <w:t>Additional and alternative requirements relating to pre-listing statements are set out in Section 12 (Mineral Companies), Section 13 (Property Companies), Section 14 (Pyramid Companies), Section 15 (Investment Entities), Section 18 (Dual Listings and Listings by External Companies) and Section 19 (Specialist Securities), respectively.</w:t>
      </w:r>
    </w:p>
    <w:p w14:paraId="03D169E3" w14:textId="26CF291E" w:rsidR="00061B6E" w:rsidRDefault="00061B6E">
      <w:pPr>
        <w:pStyle w:val="head1"/>
      </w:pPr>
      <w:r>
        <w:t>Requirement for pre-listing statements</w:t>
      </w:r>
    </w:p>
    <w:p w14:paraId="13D7D84C" w14:textId="77777777" w:rsidR="00061B6E" w:rsidRDefault="00061B6E">
      <w:pPr>
        <w:pStyle w:val="000"/>
      </w:pPr>
      <w:r>
        <w:t>6.1</w:t>
      </w:r>
      <w:r>
        <w:tab/>
        <w:t>When a new applicant or an issuer applies for a listing of securities that requires the publication of a pre-listing statement, such pre-listing statement must contain the particulars referred to in this section.</w:t>
      </w:r>
    </w:p>
    <w:p w14:paraId="5A91A33D" w14:textId="77777777" w:rsidR="00061B6E" w:rsidRDefault="00061B6E">
      <w:pPr>
        <w:pStyle w:val="head1"/>
      </w:pPr>
      <w:r>
        <w:t>Responsibility</w:t>
      </w:r>
    </w:p>
    <w:p w14:paraId="20304DE1" w14:textId="77777777" w:rsidR="00061B6E" w:rsidRDefault="00061B6E">
      <w:pPr>
        <w:pStyle w:val="000"/>
      </w:pPr>
      <w:r>
        <w:t>6.2</w:t>
      </w:r>
      <w:r>
        <w:tab/>
        <w:t>The pre-listing statement must include a statement, in the form set out in paragraph 7.B.22 (responsibility statement), modified as required pursuant to paragraph 6.3 or 6.4 or in such other form as may be required by the JSE.</w:t>
      </w:r>
    </w:p>
    <w:p w14:paraId="782867BC" w14:textId="77777777" w:rsidR="00061B6E" w:rsidRDefault="00061B6E">
      <w:pPr>
        <w:pStyle w:val="000"/>
      </w:pPr>
      <w:r>
        <w:t>6.3</w:t>
      </w:r>
      <w:r>
        <w:tab/>
        <w:t>If the pre-listing statement relates to securities issued in connection with a recommended take-over of an issuer (offeree) and the directors of the issuer (offeree) accept responsibility for the information given on that company (offeree) in the pre-listing statement, then the directors of the applicant (offeror) may accept responsibility only for the rest of the information in the pre-listing statement (refer to paragraph 7.B.22) and the responsibility statement must be adapted accordingly.</w:t>
      </w:r>
    </w:p>
    <w:p w14:paraId="41207D93" w14:textId="77777777" w:rsidR="00061B6E" w:rsidRDefault="00061B6E">
      <w:pPr>
        <w:pStyle w:val="000"/>
      </w:pPr>
      <w:r>
        <w:t>6.4</w:t>
      </w:r>
      <w:r>
        <w:tab/>
        <w:t>The JSE may require responsibility to be extended to additional persons that have made specific statements in, or have made contributions to, the pre-listing statement; in which case the responsibility statement must be amended accordingly.</w:t>
      </w:r>
    </w:p>
    <w:p w14:paraId="167E47FF" w14:textId="77777777" w:rsidR="00061B6E" w:rsidRDefault="00061B6E">
      <w:pPr>
        <w:pStyle w:val="000"/>
      </w:pPr>
      <w:r>
        <w:t>6.5</w:t>
      </w:r>
      <w:r>
        <w:tab/>
        <w:t>The pre-listing statement must be signed by every director of the applicant or issuer, or by his agent or attorney, with a copy of the authority of any such agent or attorney; provided that where responsibility for any information contained in different parts of the pre-listing statement has been extended to or accepted by any other person in accordance with paragraph 6.3 or 6.4, such other person, or his agent or attorney, shall also sign the pre-listing statement and it shall be clearly stated for which part or parts of the pre-</w:t>
      </w:r>
      <w:r>
        <w:lastRenderedPageBreak/>
        <w:t>listing statement each signatory bears responsibility.</w:t>
      </w:r>
    </w:p>
    <w:p w14:paraId="059CC214" w14:textId="77777777" w:rsidR="00061B6E" w:rsidRDefault="00061B6E">
      <w:pPr>
        <w:pStyle w:val="head1"/>
      </w:pPr>
      <w:r>
        <w:t xml:space="preserve">Form and </w:t>
      </w:r>
      <w:proofErr w:type="gramStart"/>
      <w:r>
        <w:t>content</w:t>
      </w:r>
      <w:proofErr w:type="gramEnd"/>
    </w:p>
    <w:p w14:paraId="69CE34D5" w14:textId="77777777" w:rsidR="00061B6E" w:rsidRDefault="00061B6E">
      <w:pPr>
        <w:pStyle w:val="000"/>
      </w:pPr>
      <w:r>
        <w:t>6.6</w:t>
      </w:r>
      <w:r>
        <w:tab/>
        <w:t>Pre-listing statements must contain:</w:t>
      </w:r>
    </w:p>
    <w:p w14:paraId="26CDB8BB" w14:textId="77777777" w:rsidR="00061B6E" w:rsidRDefault="00061B6E">
      <w:pPr>
        <w:pStyle w:val="a-000"/>
      </w:pPr>
      <w:r>
        <w:tab/>
        <w:t>(a)</w:t>
      </w:r>
      <w:r>
        <w:tab/>
        <w:t>the information set out in Section 7 according to the nature and circumstances of the applicant and the type of securities concerned as specified in this section; and</w:t>
      </w:r>
    </w:p>
    <w:p w14:paraId="3D34A03F" w14:textId="77777777" w:rsidR="00061B6E" w:rsidRDefault="00061B6E">
      <w:pPr>
        <w:pStyle w:val="a-000"/>
      </w:pPr>
      <w:r>
        <w:tab/>
        <w:t>(b)</w:t>
      </w:r>
      <w:r>
        <w:tab/>
        <w:t xml:space="preserve">such additional information as the JSE may consider investors reasonably require for the purpose of making an informed assessment of the prospects and status of the applicant. If the JSE requires additional disclosure, it will inform the applicant of such additional information required </w:t>
      </w:r>
      <w:proofErr w:type="gramStart"/>
      <w:r>
        <w:t>at the earliest possible date</w:t>
      </w:r>
      <w:proofErr w:type="gramEnd"/>
      <w:r>
        <w:t>.</w:t>
      </w:r>
    </w:p>
    <w:p w14:paraId="26F46136" w14:textId="77777777" w:rsidR="00061B6E" w:rsidRDefault="00061B6E">
      <w:pPr>
        <w:pStyle w:val="000"/>
      </w:pPr>
      <w:r>
        <w:t>6.7</w:t>
      </w:r>
      <w:r>
        <w:tab/>
        <w:t xml:space="preserve">Pre-listing statements must provide </w:t>
      </w:r>
      <w:proofErr w:type="gramStart"/>
      <w:r>
        <w:t>factual information</w:t>
      </w:r>
      <w:proofErr w:type="gramEnd"/>
      <w:r>
        <w:t xml:space="preserve"> in words and figures, in as easily analysable and comprehensible a form as possible.</w:t>
      </w:r>
    </w:p>
    <w:p w14:paraId="084223AC" w14:textId="77777777" w:rsidR="00061B6E" w:rsidRDefault="00061B6E">
      <w:pPr>
        <w:pStyle w:val="000"/>
      </w:pPr>
      <w:r>
        <w:t>6.8</w:t>
      </w:r>
      <w:r>
        <w:tab/>
        <w:t>There is no prescribed format for pre-listing statements, except that:</w:t>
      </w:r>
    </w:p>
    <w:p w14:paraId="6C5F22CC" w14:textId="77777777" w:rsidR="00061B6E" w:rsidRDefault="00061B6E">
      <w:pPr>
        <w:pStyle w:val="a-000"/>
      </w:pPr>
      <w:r>
        <w:tab/>
        <w:t>(a)</w:t>
      </w:r>
      <w:r>
        <w:tab/>
        <w:t xml:space="preserve">the JSE may require that prominence be given in the pre-listing statement to important information in such manner as it considers </w:t>
      </w:r>
      <w:proofErr w:type="gramStart"/>
      <w:r>
        <w:t>appropriate;</w:t>
      </w:r>
      <w:proofErr w:type="gramEnd"/>
    </w:p>
    <w:p w14:paraId="18C6D77C" w14:textId="77777777" w:rsidR="00061B6E" w:rsidRPr="00875BB7" w:rsidRDefault="00061B6E">
      <w:pPr>
        <w:pStyle w:val="a-000"/>
        <w:spacing w:after="120"/>
      </w:pPr>
      <w:r w:rsidRPr="00875BB7">
        <w:tab/>
        <w:t>(b)</w:t>
      </w:r>
      <w:r w:rsidRPr="00875BB7">
        <w:tab/>
      </w:r>
      <w:r w:rsidR="00875BB7" w:rsidRPr="00875BB7">
        <w:t xml:space="preserve">in the case of pre-listing statements to be published by a new applicant, the following information must appear on the cover page, together with the names of, where applicable, the issuer, sponsor, investment/merchant bank, auditors, financial advisers, </w:t>
      </w:r>
      <w:proofErr w:type="gramStart"/>
      <w:r w:rsidR="00875BB7" w:rsidRPr="00875BB7">
        <w:t>attorneys</w:t>
      </w:r>
      <w:proofErr w:type="gramEnd"/>
      <w:r w:rsidR="00875BB7" w:rsidRPr="00875BB7">
        <w:t xml:space="preserve"> and any other specialist adviser:</w:t>
      </w:r>
      <w:r w:rsidR="00875BB7" w:rsidRPr="00875BB7">
        <w:rPr>
          <w:rStyle w:val="FootnoteReference"/>
          <w:vertAlign w:val="baseline"/>
        </w:rPr>
        <w:footnoteReference w:customMarkFollows="1" w:id="1"/>
        <w:t> </w:t>
      </w:r>
    </w:p>
    <w:tbl>
      <w:tblPr>
        <w:tblW w:w="0" w:type="auto"/>
        <w:jc w:val="center"/>
        <w:tblLayout w:type="fixed"/>
        <w:tblCellMar>
          <w:left w:w="0" w:type="dxa"/>
          <w:right w:w="0" w:type="dxa"/>
        </w:tblCellMar>
        <w:tblLook w:val="0000" w:firstRow="0" w:lastRow="0" w:firstColumn="0" w:lastColumn="0" w:noHBand="0" w:noVBand="0"/>
      </w:tblPr>
      <w:tblGrid>
        <w:gridCol w:w="2268"/>
        <w:gridCol w:w="5670"/>
      </w:tblGrid>
      <w:tr w:rsidR="00061B6E" w14:paraId="1A05AAB0" w14:textId="77777777">
        <w:trPr>
          <w:jc w:val="center"/>
        </w:trPr>
        <w:tc>
          <w:tcPr>
            <w:tcW w:w="2268" w:type="dxa"/>
            <w:tcBorders>
              <w:top w:val="single" w:sz="6" w:space="0" w:color="C0C0C0"/>
              <w:left w:val="single" w:sz="6" w:space="0" w:color="C0C0C0"/>
              <w:bottom w:val="single" w:sz="6" w:space="0" w:color="C0C0C0"/>
              <w:right w:val="single" w:sz="6" w:space="0" w:color="C0C0C0"/>
            </w:tcBorders>
          </w:tcPr>
          <w:p w14:paraId="1F456EC4" w14:textId="77777777" w:rsidR="00061B6E" w:rsidRDefault="00061B6E">
            <w:pPr>
              <w:pStyle w:val="tabletext"/>
              <w:spacing w:before="40" w:after="40"/>
              <w:ind w:left="113" w:right="113"/>
              <w:rPr>
                <w:b/>
              </w:rPr>
            </w:pPr>
            <w:r>
              <w:rPr>
                <w:b/>
              </w:rPr>
              <w:t>Paragraph</w:t>
            </w:r>
          </w:p>
        </w:tc>
        <w:tc>
          <w:tcPr>
            <w:tcW w:w="5670" w:type="dxa"/>
            <w:tcBorders>
              <w:top w:val="single" w:sz="6" w:space="0" w:color="C0C0C0"/>
              <w:left w:val="single" w:sz="6" w:space="0" w:color="C0C0C0"/>
              <w:bottom w:val="single" w:sz="6" w:space="0" w:color="C0C0C0"/>
              <w:right w:val="single" w:sz="6" w:space="0" w:color="C0C0C0"/>
            </w:tcBorders>
          </w:tcPr>
          <w:p w14:paraId="45B709F4" w14:textId="77777777" w:rsidR="00061B6E" w:rsidRDefault="00061B6E">
            <w:pPr>
              <w:pStyle w:val="tabletext"/>
              <w:spacing w:before="60" w:after="60"/>
              <w:ind w:left="113"/>
              <w:rPr>
                <w:b/>
              </w:rPr>
            </w:pPr>
            <w:r>
              <w:rPr>
                <w:b/>
              </w:rPr>
              <w:t>Nature of statement</w:t>
            </w:r>
          </w:p>
        </w:tc>
      </w:tr>
      <w:tr w:rsidR="00061B6E" w14:paraId="5CAEB406" w14:textId="77777777">
        <w:trPr>
          <w:jc w:val="center"/>
        </w:trPr>
        <w:tc>
          <w:tcPr>
            <w:tcW w:w="2268" w:type="dxa"/>
            <w:tcBorders>
              <w:top w:val="single" w:sz="6" w:space="0" w:color="C0C0C0"/>
              <w:left w:val="single" w:sz="6" w:space="0" w:color="C0C0C0"/>
              <w:bottom w:val="single" w:sz="6" w:space="0" w:color="C0C0C0"/>
              <w:right w:val="single" w:sz="6" w:space="0" w:color="C0C0C0"/>
            </w:tcBorders>
          </w:tcPr>
          <w:p w14:paraId="6671DBA1" w14:textId="77777777" w:rsidR="00061B6E" w:rsidRDefault="00061B6E">
            <w:pPr>
              <w:pStyle w:val="tabletext"/>
              <w:spacing w:before="40" w:after="40"/>
              <w:ind w:left="113" w:right="113"/>
            </w:pPr>
            <w:r>
              <w:t>7.A.4 or 5</w:t>
            </w:r>
          </w:p>
        </w:tc>
        <w:tc>
          <w:tcPr>
            <w:tcW w:w="5670" w:type="dxa"/>
            <w:tcBorders>
              <w:top w:val="single" w:sz="6" w:space="0" w:color="C0C0C0"/>
              <w:left w:val="single" w:sz="6" w:space="0" w:color="C0C0C0"/>
              <w:bottom w:val="single" w:sz="6" w:space="0" w:color="C0C0C0"/>
              <w:right w:val="single" w:sz="6" w:space="0" w:color="C0C0C0"/>
            </w:tcBorders>
          </w:tcPr>
          <w:p w14:paraId="3903AA72" w14:textId="77777777" w:rsidR="00061B6E" w:rsidRDefault="00061B6E">
            <w:pPr>
              <w:pStyle w:val="tabletext"/>
              <w:spacing w:before="40" w:after="40"/>
              <w:ind w:left="113" w:right="113"/>
            </w:pPr>
            <w:r>
              <w:t>Share capital of the company</w:t>
            </w:r>
          </w:p>
        </w:tc>
      </w:tr>
      <w:tr w:rsidR="00061B6E" w14:paraId="3EAC115F" w14:textId="77777777">
        <w:trPr>
          <w:jc w:val="center"/>
        </w:trPr>
        <w:tc>
          <w:tcPr>
            <w:tcW w:w="2268" w:type="dxa"/>
            <w:tcBorders>
              <w:top w:val="single" w:sz="6" w:space="0" w:color="C0C0C0"/>
              <w:left w:val="single" w:sz="6" w:space="0" w:color="C0C0C0"/>
              <w:bottom w:val="single" w:sz="6" w:space="0" w:color="C0C0C0"/>
              <w:right w:val="single" w:sz="6" w:space="0" w:color="C0C0C0"/>
            </w:tcBorders>
          </w:tcPr>
          <w:p w14:paraId="353D3780" w14:textId="77777777" w:rsidR="00061B6E" w:rsidRDefault="00061B6E">
            <w:pPr>
              <w:pStyle w:val="tabletext"/>
              <w:spacing w:before="40" w:after="40"/>
              <w:ind w:left="113" w:right="113"/>
            </w:pPr>
            <w:r>
              <w:t>7.B.22</w:t>
            </w:r>
          </w:p>
        </w:tc>
        <w:tc>
          <w:tcPr>
            <w:tcW w:w="5670" w:type="dxa"/>
            <w:tcBorders>
              <w:top w:val="single" w:sz="6" w:space="0" w:color="C0C0C0"/>
              <w:left w:val="single" w:sz="6" w:space="0" w:color="C0C0C0"/>
              <w:bottom w:val="single" w:sz="6" w:space="0" w:color="C0C0C0"/>
              <w:right w:val="single" w:sz="6" w:space="0" w:color="C0C0C0"/>
            </w:tcBorders>
          </w:tcPr>
          <w:p w14:paraId="088703DE" w14:textId="77777777" w:rsidR="00061B6E" w:rsidRDefault="00061B6E">
            <w:pPr>
              <w:pStyle w:val="tabletext"/>
              <w:spacing w:before="40" w:after="40"/>
              <w:ind w:left="113" w:right="113"/>
            </w:pPr>
            <w:r>
              <w:t>Responsibility</w:t>
            </w:r>
          </w:p>
        </w:tc>
      </w:tr>
      <w:tr w:rsidR="00061B6E" w14:paraId="55ABED4F" w14:textId="77777777">
        <w:trPr>
          <w:jc w:val="center"/>
        </w:trPr>
        <w:tc>
          <w:tcPr>
            <w:tcW w:w="2268" w:type="dxa"/>
            <w:tcBorders>
              <w:top w:val="single" w:sz="6" w:space="0" w:color="C0C0C0"/>
              <w:left w:val="single" w:sz="6" w:space="0" w:color="C0C0C0"/>
              <w:bottom w:val="single" w:sz="6" w:space="0" w:color="C0C0C0"/>
              <w:right w:val="single" w:sz="6" w:space="0" w:color="C0C0C0"/>
            </w:tcBorders>
          </w:tcPr>
          <w:p w14:paraId="6A234C6A" w14:textId="77777777" w:rsidR="00061B6E" w:rsidRDefault="00061B6E">
            <w:pPr>
              <w:pStyle w:val="tabletext"/>
              <w:spacing w:before="40" w:after="40"/>
              <w:ind w:left="113" w:right="113"/>
            </w:pPr>
            <w:r>
              <w:t>7.C.2 or 3</w:t>
            </w:r>
          </w:p>
        </w:tc>
        <w:tc>
          <w:tcPr>
            <w:tcW w:w="5670" w:type="dxa"/>
            <w:tcBorders>
              <w:top w:val="single" w:sz="6" w:space="0" w:color="C0C0C0"/>
              <w:left w:val="single" w:sz="6" w:space="0" w:color="C0C0C0"/>
              <w:bottom w:val="single" w:sz="6" w:space="0" w:color="C0C0C0"/>
              <w:right w:val="single" w:sz="6" w:space="0" w:color="C0C0C0"/>
            </w:tcBorders>
          </w:tcPr>
          <w:p w14:paraId="673775B7" w14:textId="77777777" w:rsidR="00061B6E" w:rsidRDefault="00061B6E">
            <w:pPr>
              <w:pStyle w:val="tabletext"/>
              <w:spacing w:before="40" w:after="40"/>
              <w:ind w:left="113" w:right="113"/>
            </w:pPr>
            <w:proofErr w:type="gramStart"/>
            <w:r>
              <w:t>Particulars of</w:t>
            </w:r>
            <w:proofErr w:type="gramEnd"/>
            <w:r>
              <w:t xml:space="preserve"> the issue</w:t>
            </w:r>
          </w:p>
        </w:tc>
      </w:tr>
      <w:tr w:rsidR="00061B6E" w14:paraId="5EF90701" w14:textId="77777777">
        <w:trPr>
          <w:jc w:val="center"/>
        </w:trPr>
        <w:tc>
          <w:tcPr>
            <w:tcW w:w="2268" w:type="dxa"/>
            <w:tcBorders>
              <w:top w:val="single" w:sz="6" w:space="0" w:color="C0C0C0"/>
              <w:left w:val="single" w:sz="6" w:space="0" w:color="C0C0C0"/>
              <w:bottom w:val="single" w:sz="6" w:space="0" w:color="C0C0C0"/>
              <w:right w:val="single" w:sz="6" w:space="0" w:color="C0C0C0"/>
            </w:tcBorders>
          </w:tcPr>
          <w:p w14:paraId="3FBBC4E5" w14:textId="77777777" w:rsidR="00061B6E" w:rsidRDefault="00061B6E">
            <w:pPr>
              <w:pStyle w:val="tabletext"/>
              <w:spacing w:before="40" w:after="40"/>
              <w:ind w:left="113" w:right="113"/>
            </w:pPr>
            <w:r>
              <w:t>7.C.9</w:t>
            </w:r>
          </w:p>
        </w:tc>
        <w:tc>
          <w:tcPr>
            <w:tcW w:w="5670" w:type="dxa"/>
            <w:tcBorders>
              <w:top w:val="single" w:sz="6" w:space="0" w:color="C0C0C0"/>
              <w:left w:val="single" w:sz="6" w:space="0" w:color="C0C0C0"/>
              <w:bottom w:val="single" w:sz="6" w:space="0" w:color="C0C0C0"/>
              <w:right w:val="single" w:sz="6" w:space="0" w:color="C0C0C0"/>
            </w:tcBorders>
          </w:tcPr>
          <w:p w14:paraId="217D4CD3" w14:textId="77777777" w:rsidR="00061B6E" w:rsidRDefault="00061B6E">
            <w:pPr>
              <w:pStyle w:val="tabletext"/>
              <w:spacing w:before="40" w:after="40"/>
              <w:ind w:left="113" w:right="113"/>
            </w:pPr>
            <w:r>
              <w:t>The Commission</w:t>
            </w:r>
          </w:p>
        </w:tc>
      </w:tr>
    </w:tbl>
    <w:p w14:paraId="128E8EBA" w14:textId="77777777" w:rsidR="00061B6E" w:rsidRDefault="00061B6E">
      <w:pPr>
        <w:pStyle w:val="a-000"/>
      </w:pPr>
      <w:r>
        <w:tab/>
        <w:t>(c)</w:t>
      </w:r>
      <w:r>
        <w:tab/>
        <w:t xml:space="preserve">pre-listing statements must not contain pictures, charts, </w:t>
      </w:r>
      <w:proofErr w:type="gramStart"/>
      <w:r>
        <w:t>graphs</w:t>
      </w:r>
      <w:proofErr w:type="gramEnd"/>
      <w:r>
        <w:t xml:space="preserve"> or other illustrations unless the JSE is satisfied that this is the best and/or only way in which the information can be clearly presented or is necessary in the interests of being succinct or comprehensible and does not present the information unfairly.</w:t>
      </w:r>
    </w:p>
    <w:p w14:paraId="0206357D" w14:textId="77777777" w:rsidR="00061B6E" w:rsidRDefault="00061B6E">
      <w:pPr>
        <w:pStyle w:val="000"/>
      </w:pPr>
      <w:r>
        <w:t>6.9</w:t>
      </w:r>
      <w:r>
        <w:tab/>
        <w:t>New applicants and issuers issuing a pre-listing statement are required to provide all the information contained in paragraphs 7.A to 7.H in such document and in respect thereof:</w:t>
      </w:r>
    </w:p>
    <w:p w14:paraId="433EAD90" w14:textId="77777777" w:rsidR="00061B6E" w:rsidRDefault="00061B6E">
      <w:pPr>
        <w:pStyle w:val="a-000"/>
      </w:pPr>
      <w:r>
        <w:tab/>
        <w:t>(a)</w:t>
      </w:r>
      <w:r>
        <w:tab/>
        <w:t xml:space="preserve">where the information required by a particular paragraph is inappropriate to the applicant’s sphere of activity or legal form, the information must be appropriately adapted so that equivalent information is </w:t>
      </w:r>
      <w:proofErr w:type="gramStart"/>
      <w:r>
        <w:t>given;</w:t>
      </w:r>
      <w:proofErr w:type="gramEnd"/>
    </w:p>
    <w:p w14:paraId="56954D26" w14:textId="77777777" w:rsidR="00061B6E" w:rsidRDefault="00061B6E">
      <w:pPr>
        <w:pStyle w:val="a-000"/>
      </w:pPr>
      <w:r>
        <w:tab/>
        <w:t>(b)</w:t>
      </w:r>
      <w:r>
        <w:tab/>
        <w:t xml:space="preserve">negative statements are required in all instances except where the JSE agrees </w:t>
      </w:r>
      <w:proofErr w:type="gramStart"/>
      <w:r>
        <w:t>otherwise;</w:t>
      </w:r>
      <w:proofErr w:type="gramEnd"/>
    </w:p>
    <w:p w14:paraId="38BD817F" w14:textId="77777777" w:rsidR="00061B6E" w:rsidRDefault="00061B6E">
      <w:pPr>
        <w:pStyle w:val="a-000"/>
      </w:pPr>
      <w:r>
        <w:tab/>
        <w:t>(c)</w:t>
      </w:r>
      <w:r>
        <w:tab/>
        <w:t xml:space="preserve">unless specified, all references to disclosure are at the date the pre-listing statement is issued or as near to such date as </w:t>
      </w:r>
      <w:proofErr w:type="gramStart"/>
      <w:r>
        <w:t>practicable;</w:t>
      </w:r>
      <w:proofErr w:type="gramEnd"/>
    </w:p>
    <w:p w14:paraId="591DC50B" w14:textId="77777777" w:rsidR="00061B6E" w:rsidRDefault="00061B6E">
      <w:pPr>
        <w:pStyle w:val="a-000"/>
      </w:pPr>
      <w:r>
        <w:tab/>
        <w:t>(d)</w:t>
      </w:r>
      <w:r>
        <w:tab/>
        <w:t xml:space="preserve">where another company is to become part of an applicant’s group, that other company and its subsidiaries must be treated as part of the applicant’s group for the purpose of the information required by this </w:t>
      </w:r>
      <w:proofErr w:type="gramStart"/>
      <w:r>
        <w:t>paragraph;</w:t>
      </w:r>
      <w:proofErr w:type="gramEnd"/>
    </w:p>
    <w:p w14:paraId="661D2404" w14:textId="77777777" w:rsidR="00061B6E" w:rsidRDefault="00061B6E">
      <w:pPr>
        <w:pStyle w:val="a-000"/>
        <w:rPr>
          <w:spacing w:val="-2"/>
        </w:rPr>
      </w:pPr>
      <w:r>
        <w:tab/>
        <w:t>(e)</w:t>
      </w:r>
      <w:r>
        <w:tab/>
        <w:t xml:space="preserve">the JSE will not require an indebtedness statement (refer to paragraphs </w:t>
      </w:r>
      <w:r>
        <w:lastRenderedPageBreak/>
        <w:t xml:space="preserve">7.A.12 to 7.A.19) to be included in a pre-listing statement published in connection with an issue of securities where the issuer’s business is </w:t>
      </w:r>
      <w:r>
        <w:rPr>
          <w:spacing w:val="-2"/>
        </w:rPr>
        <w:t xml:space="preserve">entirely or mainly that of banking, </w:t>
      </w:r>
      <w:proofErr w:type="gramStart"/>
      <w:r>
        <w:rPr>
          <w:spacing w:val="-2"/>
        </w:rPr>
        <w:t>insurance</w:t>
      </w:r>
      <w:proofErr w:type="gramEnd"/>
      <w:r>
        <w:rPr>
          <w:spacing w:val="-2"/>
        </w:rPr>
        <w:t xml:space="preserve"> or the provision of similar financial services, provided that the JSE is satisfied that:</w:t>
      </w:r>
    </w:p>
    <w:p w14:paraId="06FB924F" w14:textId="77777777" w:rsidR="00061B6E" w:rsidRDefault="00061B6E">
      <w:pPr>
        <w:pStyle w:val="i-000a"/>
      </w:pPr>
      <w:r>
        <w:tab/>
        <w:t>(i)</w:t>
      </w:r>
      <w:r>
        <w:tab/>
        <w:t>the inclusion of such a statement would not provide significant information for investors; and</w:t>
      </w:r>
    </w:p>
    <w:p w14:paraId="7C28A6E7" w14:textId="77777777" w:rsidR="00061B6E" w:rsidRDefault="00061B6E">
      <w:pPr>
        <w:pStyle w:val="i-000a"/>
      </w:pPr>
      <w:r>
        <w:tab/>
        <w:t>(ii)</w:t>
      </w:r>
      <w:r>
        <w:tab/>
        <w:t>the applicant’s solvency and capital adequacy are suitably regulated by another regulatory body.</w:t>
      </w:r>
    </w:p>
    <w:p w14:paraId="3E97F3B0" w14:textId="77777777" w:rsidR="00061B6E" w:rsidRDefault="00061B6E">
      <w:pPr>
        <w:pStyle w:val="head2"/>
      </w:pPr>
      <w:r>
        <w:t>Shareholder approval</w:t>
      </w:r>
    </w:p>
    <w:p w14:paraId="666C85DF" w14:textId="77777777" w:rsidR="00061B6E" w:rsidRDefault="00061B6E">
      <w:pPr>
        <w:pStyle w:val="000"/>
      </w:pPr>
      <w:r>
        <w:t>6.10</w:t>
      </w:r>
      <w:r>
        <w:tab/>
        <w:t>If the issue of securities in respect of which the pre-listing statement is to be issued is made conditional upon shareholder approval, the following statement must appear on the first page of the pre-listing statement:</w:t>
      </w:r>
    </w:p>
    <w:p w14:paraId="6C589B2B" w14:textId="77777777" w:rsidR="00061B6E" w:rsidRDefault="00061B6E">
      <w:pPr>
        <w:pStyle w:val="quote-000"/>
      </w:pPr>
      <w:r>
        <w:t>“This pre-listing statement has been prepared on the assumption that the ordinary and special resolutions proposed in the Notice of General Meeting forming part of the circular to which this pre-listing statement is attached will be passed at the General Meeting of shareholders to be held on . . . and registered (if applicable).”</w:t>
      </w:r>
    </w:p>
    <w:p w14:paraId="1E45B4B0" w14:textId="77777777" w:rsidR="00061B6E" w:rsidRDefault="00061B6E">
      <w:pPr>
        <w:pStyle w:val="head1"/>
      </w:pPr>
      <w:r>
        <w:t>Formal approval</w:t>
      </w:r>
    </w:p>
    <w:p w14:paraId="73318559" w14:textId="77777777" w:rsidR="00061B6E" w:rsidRDefault="00061B6E">
      <w:pPr>
        <w:pStyle w:val="000"/>
      </w:pPr>
      <w:r>
        <w:t>6.11</w:t>
      </w:r>
      <w:r>
        <w:tab/>
        <w:t>Pre-listing statements must be formally approved by the JSE before publication. Such approval will only be given if the JSE considers that the information in the pre-listing statement is complete.</w:t>
      </w:r>
    </w:p>
    <w:p w14:paraId="4DD59720" w14:textId="77777777" w:rsidR="00061B6E" w:rsidRDefault="00061B6E">
      <w:pPr>
        <w:pStyle w:val="000"/>
      </w:pPr>
      <w:r>
        <w:t>6.12</w:t>
      </w:r>
      <w:r>
        <w:tab/>
        <w:t>Pre-listing statements submitted to the JSE for formal approval must be in the form of a typed document, but the JSE may permit neat manuscript information relating to the number of securities, the offer/issue price and any figures derived therefrom if such information is unable to be finalised and included in the pre-listing statement in typed print due to time pressures.</w:t>
      </w:r>
    </w:p>
    <w:p w14:paraId="161380C4" w14:textId="77777777" w:rsidR="00061B6E" w:rsidRDefault="00061B6E">
      <w:pPr>
        <w:pStyle w:val="head1"/>
      </w:pPr>
      <w:r>
        <w:t>Supplementary pre-listing statements</w:t>
      </w:r>
    </w:p>
    <w:p w14:paraId="053FA664" w14:textId="77777777" w:rsidR="00061B6E" w:rsidRDefault="00061B6E">
      <w:pPr>
        <w:pStyle w:val="000"/>
      </w:pPr>
      <w:r>
        <w:t>6.13</w:t>
      </w:r>
      <w:r>
        <w:tab/>
        <w:t xml:space="preserve">The JSE must be advised </w:t>
      </w:r>
      <w:proofErr w:type="gramStart"/>
      <w:r>
        <w:t>immediately</w:t>
      </w:r>
      <w:proofErr w:type="gramEnd"/>
      <w:r>
        <w:t xml:space="preserve"> and supplementary pre-listing statements published if, at any time after pre-listing statements have been published and before dealings in the relevant securities commences, the applicant becomes aware that:</w:t>
      </w:r>
    </w:p>
    <w:p w14:paraId="75DEECDE" w14:textId="77777777" w:rsidR="00061B6E" w:rsidRDefault="00061B6E">
      <w:pPr>
        <w:pStyle w:val="a-000"/>
      </w:pPr>
      <w:r>
        <w:tab/>
        <w:t>(a)</w:t>
      </w:r>
      <w:r>
        <w:tab/>
        <w:t>there has been a material change affecting any matter contained in the pre-listing statement; or</w:t>
      </w:r>
    </w:p>
    <w:p w14:paraId="0431F6BD" w14:textId="77777777" w:rsidR="00061B6E" w:rsidRDefault="00061B6E">
      <w:pPr>
        <w:pStyle w:val="a-000"/>
      </w:pPr>
      <w:r>
        <w:tab/>
        <w:t>(b)</w:t>
      </w:r>
      <w:r>
        <w:tab/>
        <w:t>a material new matter(s) has/have arisen, the inclusion of information on which new matter would have been required to be disclosed in the original pre-listing statement had such information been known at that time.</w:t>
      </w:r>
    </w:p>
    <w:p w14:paraId="0BD36E54" w14:textId="77777777" w:rsidR="00061B6E" w:rsidRDefault="00061B6E">
      <w:pPr>
        <w:pStyle w:val="000"/>
      </w:pPr>
      <w:r>
        <w:t>6.14</w:t>
      </w:r>
      <w:r>
        <w:tab/>
        <w:t>Supplementary pre-listing statements must:</w:t>
      </w:r>
    </w:p>
    <w:p w14:paraId="493C52CC" w14:textId="77777777" w:rsidR="00061B6E" w:rsidRDefault="00061B6E">
      <w:pPr>
        <w:pStyle w:val="a-000"/>
      </w:pPr>
      <w:r>
        <w:tab/>
        <w:t>(a)</w:t>
      </w:r>
      <w:r>
        <w:tab/>
        <w:t xml:space="preserve">provide full details of the change or new </w:t>
      </w:r>
      <w:proofErr w:type="gramStart"/>
      <w:r>
        <w:t>matter;</w:t>
      </w:r>
      <w:proofErr w:type="gramEnd"/>
    </w:p>
    <w:p w14:paraId="2A41447C" w14:textId="77777777" w:rsidR="00061B6E" w:rsidRDefault="00061B6E">
      <w:pPr>
        <w:pStyle w:val="a-000"/>
      </w:pPr>
      <w:r>
        <w:tab/>
        <w:t>(b)</w:t>
      </w:r>
      <w:r>
        <w:tab/>
        <w:t xml:space="preserve">contain the responsibility statement required by paragraph </w:t>
      </w:r>
      <w:proofErr w:type="gramStart"/>
      <w:r>
        <w:t>6.2;</w:t>
      </w:r>
      <w:proofErr w:type="gramEnd"/>
    </w:p>
    <w:p w14:paraId="24ED23DD" w14:textId="77777777" w:rsidR="00061B6E" w:rsidRDefault="00061B6E">
      <w:pPr>
        <w:pStyle w:val="a-000"/>
      </w:pPr>
      <w:r>
        <w:tab/>
        <w:t>(c)</w:t>
      </w:r>
      <w:r>
        <w:tab/>
        <w:t>contain a statement that, save as disclosed, there has been no material change and no material new matter that has arisen since publication of the previous pre-listing statement.</w:t>
      </w:r>
    </w:p>
    <w:p w14:paraId="38858E75" w14:textId="77777777" w:rsidR="00061B6E" w:rsidRDefault="00061B6E">
      <w:pPr>
        <w:pStyle w:val="head1"/>
      </w:pPr>
      <w:r>
        <w:t>Omission of information</w:t>
      </w:r>
    </w:p>
    <w:p w14:paraId="76B6E8AE" w14:textId="77777777" w:rsidR="00061B6E" w:rsidRDefault="00061B6E">
      <w:pPr>
        <w:pStyle w:val="000"/>
      </w:pPr>
      <w:r>
        <w:t>6.15</w:t>
      </w:r>
      <w:r>
        <w:tab/>
        <w:t>If any information required by paragraph 6.6(a) is not applicable and no equivalent information is available, it need not be included in the pre-listing statement provided that the JSE is informed in writing of same and approves such omission.</w:t>
      </w:r>
    </w:p>
    <w:p w14:paraId="620954AB" w14:textId="77777777" w:rsidR="00061B6E" w:rsidRDefault="00061B6E">
      <w:pPr>
        <w:pStyle w:val="000"/>
        <w:spacing w:before="0"/>
      </w:pPr>
      <w:r>
        <w:t>6.16</w:t>
      </w:r>
      <w:r>
        <w:tab/>
        <w:t xml:space="preserve">The JSE may authorise the omission of information that is applicable if it </w:t>
      </w:r>
      <w:r>
        <w:lastRenderedPageBreak/>
        <w:t>considers that:</w:t>
      </w:r>
    </w:p>
    <w:p w14:paraId="1B020EE6" w14:textId="77777777" w:rsidR="00061B6E" w:rsidRDefault="00061B6E">
      <w:pPr>
        <w:pStyle w:val="a-000"/>
      </w:pPr>
      <w:r>
        <w:tab/>
        <w:t>(a)</w:t>
      </w:r>
      <w:r>
        <w:tab/>
        <w:t>the information is of minor importance and will not influence any assessment of the financial position, changes in equity, results of operations or cash flows; or</w:t>
      </w:r>
    </w:p>
    <w:p w14:paraId="39023AD0" w14:textId="77777777" w:rsidR="00061B6E" w:rsidRDefault="00061B6E">
      <w:pPr>
        <w:pStyle w:val="a-000"/>
      </w:pPr>
      <w:r>
        <w:tab/>
        <w:t>(b)</w:t>
      </w:r>
      <w:r>
        <w:tab/>
        <w:t xml:space="preserve">disclosure would be contrary to the public interest and omission thereof is not likely to mislead investors </w:t>
      </w:r>
      <w:proofErr w:type="gramStart"/>
      <w:r>
        <w:t>with regard to</w:t>
      </w:r>
      <w:proofErr w:type="gramEnd"/>
      <w:r>
        <w:t xml:space="preserve"> any important/material facts and/or circumstances; or</w:t>
      </w:r>
    </w:p>
    <w:p w14:paraId="25970C50" w14:textId="77777777" w:rsidR="00061B6E" w:rsidRDefault="00061B6E">
      <w:pPr>
        <w:pStyle w:val="a-000"/>
      </w:pPr>
      <w:r>
        <w:tab/>
        <w:t>(c)</w:t>
      </w:r>
      <w:r>
        <w:tab/>
        <w:t xml:space="preserve">disclosure would be seriously detrimental to the applicant or would constitute an invasion of the applicant’s rights to privacy and omission is not likely to mislead investors </w:t>
      </w:r>
      <w:proofErr w:type="gramStart"/>
      <w:r>
        <w:t>with regard to</w:t>
      </w:r>
      <w:proofErr w:type="gramEnd"/>
      <w:r>
        <w:t xml:space="preserve"> any important/material facts and/or circumstances.</w:t>
      </w:r>
    </w:p>
    <w:p w14:paraId="2EC02F3B" w14:textId="77777777" w:rsidR="00061B6E" w:rsidRDefault="00061B6E">
      <w:pPr>
        <w:pStyle w:val="000"/>
      </w:pPr>
      <w:r>
        <w:t>6.17</w:t>
      </w:r>
      <w:r>
        <w:tab/>
        <w:t>Requests to the JSE to authorise any omission of information must:</w:t>
      </w:r>
    </w:p>
    <w:p w14:paraId="1DE0BFEE" w14:textId="77777777" w:rsidR="00061B6E" w:rsidRDefault="00061B6E">
      <w:pPr>
        <w:pStyle w:val="a-000"/>
      </w:pPr>
      <w:r>
        <w:tab/>
        <w:t>(a)</w:t>
      </w:r>
      <w:r>
        <w:tab/>
        <w:t xml:space="preserve">be in writing from the applicant or </w:t>
      </w:r>
      <w:proofErr w:type="gramStart"/>
      <w:r>
        <w:t>sponsor;</w:t>
      </w:r>
      <w:proofErr w:type="gramEnd"/>
    </w:p>
    <w:p w14:paraId="522FCA9A" w14:textId="77777777" w:rsidR="00061B6E" w:rsidRDefault="00061B6E">
      <w:pPr>
        <w:pStyle w:val="a-000"/>
      </w:pPr>
      <w:r>
        <w:tab/>
        <w:t>(b)</w:t>
      </w:r>
      <w:r>
        <w:tab/>
        <w:t>identify the information concerned and the reasons for the omission; and</w:t>
      </w:r>
    </w:p>
    <w:p w14:paraId="0E7C582E" w14:textId="77777777" w:rsidR="00061B6E" w:rsidRDefault="00061B6E">
      <w:pPr>
        <w:pStyle w:val="a-000"/>
      </w:pPr>
      <w:r>
        <w:tab/>
        <w:t>(c)</w:t>
      </w:r>
      <w:r>
        <w:tab/>
        <w:t>state why, in the opinion of the applicant, one or more of the grounds in paragraph 6.16 apply.</w:t>
      </w:r>
    </w:p>
    <w:p w14:paraId="534F9535" w14:textId="77777777" w:rsidR="00061B6E" w:rsidRDefault="00061B6E">
      <w:pPr>
        <w:pStyle w:val="head1"/>
      </w:pPr>
      <w:r>
        <w:t>Omission of material contracts from disclosure</w:t>
      </w:r>
    </w:p>
    <w:p w14:paraId="2F1BEA72" w14:textId="77777777" w:rsidR="00061B6E" w:rsidRDefault="00061B6E">
      <w:pPr>
        <w:pStyle w:val="000"/>
      </w:pPr>
      <w:r>
        <w:t>6.18</w:t>
      </w:r>
      <w:r>
        <w:tab/>
        <w:t xml:space="preserve">The JSE, in its sole discretion, may allow all or part of a material contract to be withheld from public inspection (refer to paragraph 7.F.1) </w:t>
      </w:r>
      <w:proofErr w:type="gramStart"/>
      <w:r>
        <w:t>in the event that</w:t>
      </w:r>
      <w:proofErr w:type="gramEnd"/>
      <w:r>
        <w:t xml:space="preserve"> it receives such request from an applicant, which request must:</w:t>
      </w:r>
    </w:p>
    <w:p w14:paraId="5CFDE93C" w14:textId="77777777" w:rsidR="00061B6E" w:rsidRDefault="00061B6E">
      <w:pPr>
        <w:pStyle w:val="a-000"/>
      </w:pPr>
      <w:r>
        <w:tab/>
        <w:t>(a)</w:t>
      </w:r>
      <w:r>
        <w:tab/>
        <w:t xml:space="preserve">be in writing from the applicant or </w:t>
      </w:r>
      <w:proofErr w:type="gramStart"/>
      <w:r>
        <w:t>sponsor;</w:t>
      </w:r>
      <w:proofErr w:type="gramEnd"/>
    </w:p>
    <w:p w14:paraId="13E98A20" w14:textId="77777777" w:rsidR="00061B6E" w:rsidRDefault="00061B6E">
      <w:pPr>
        <w:pStyle w:val="a-000"/>
      </w:pPr>
      <w:r>
        <w:tab/>
        <w:t>(b)</w:t>
      </w:r>
      <w:r>
        <w:tab/>
        <w:t xml:space="preserve">state why, in the opinion of the applicant, one or more of the grounds in paragraph 6.16 </w:t>
      </w:r>
      <w:proofErr w:type="gramStart"/>
      <w:r>
        <w:t>apply;</w:t>
      </w:r>
      <w:proofErr w:type="gramEnd"/>
    </w:p>
    <w:p w14:paraId="0164B39D" w14:textId="77777777" w:rsidR="00061B6E" w:rsidRDefault="00061B6E">
      <w:pPr>
        <w:pStyle w:val="a-000"/>
      </w:pPr>
      <w:r>
        <w:tab/>
        <w:t>(c)</w:t>
      </w:r>
      <w:r>
        <w:tab/>
        <w:t>enclose a copy of the contract in question or, if the contract is not reduced to writing, a memorandum giving full particulars of its terms; and</w:t>
      </w:r>
    </w:p>
    <w:p w14:paraId="0F4B342D" w14:textId="77777777" w:rsidR="00061B6E" w:rsidRDefault="00061B6E">
      <w:pPr>
        <w:pStyle w:val="a-000"/>
      </w:pPr>
      <w:r>
        <w:tab/>
        <w:t>(d)</w:t>
      </w:r>
      <w:r>
        <w:tab/>
        <w:t>include confirmation by the applicant that the contract is a material contract not in the ordinary course of business.</w:t>
      </w:r>
    </w:p>
    <w:p w14:paraId="531D6748" w14:textId="77777777" w:rsidR="00061B6E" w:rsidRDefault="00061B6E">
      <w:pPr>
        <w:pStyle w:val="head1"/>
      </w:pPr>
      <w:r>
        <w:t xml:space="preserve">Issues not requiring pre-listing </w:t>
      </w:r>
      <w:proofErr w:type="gramStart"/>
      <w:r>
        <w:t>statements</w:t>
      </w:r>
      <w:proofErr w:type="gramEnd"/>
    </w:p>
    <w:p w14:paraId="2A101EB2" w14:textId="77777777" w:rsidR="00061B6E" w:rsidRDefault="00061B6E">
      <w:pPr>
        <w:pStyle w:val="000"/>
      </w:pPr>
      <w:r>
        <w:t>6.19</w:t>
      </w:r>
      <w:r>
        <w:tab/>
        <w:t>Pre-listing statements are not required for issues of securities by applicants whose securities are already listed, and which fall into the following categories:</w:t>
      </w:r>
    </w:p>
    <w:p w14:paraId="47765341" w14:textId="77777777" w:rsidR="00061B6E" w:rsidRDefault="00061B6E">
      <w:pPr>
        <w:pStyle w:val="a-000"/>
      </w:pPr>
      <w:r>
        <w:tab/>
        <w:t>(a)</w:t>
      </w:r>
      <w:r>
        <w:tab/>
        <w:t xml:space="preserve">securities issued for cash or </w:t>
      </w:r>
      <w:proofErr w:type="gramStart"/>
      <w:r>
        <w:t>as a result of</w:t>
      </w:r>
      <w:proofErr w:type="gramEnd"/>
      <w:r>
        <w:t xml:space="preserve"> the conversion of convertible securities;</w:t>
      </w:r>
      <w:r w:rsidRPr="00174F05">
        <w:rPr>
          <w:rStyle w:val="FootnoteReference"/>
          <w:vertAlign w:val="baseline"/>
        </w:rPr>
        <w:footnoteReference w:customMarkFollows="1" w:id="2"/>
        <w:t> </w:t>
      </w:r>
    </w:p>
    <w:p w14:paraId="2164AE1F" w14:textId="77777777" w:rsidR="00061B6E" w:rsidRDefault="00061B6E">
      <w:pPr>
        <w:pStyle w:val="a-000"/>
      </w:pPr>
      <w:r>
        <w:tab/>
        <w:t>(b)</w:t>
      </w:r>
      <w:r>
        <w:tab/>
        <w:t xml:space="preserve">securities issued as a result of the exercise of rights under </w:t>
      </w:r>
      <w:proofErr w:type="gramStart"/>
      <w:r>
        <w:t>options;</w:t>
      </w:r>
      <w:proofErr w:type="gramEnd"/>
    </w:p>
    <w:p w14:paraId="2E789602" w14:textId="77777777" w:rsidR="00061B6E" w:rsidRDefault="00061B6E">
      <w:pPr>
        <w:pStyle w:val="a-000"/>
      </w:pPr>
      <w:r>
        <w:tab/>
        <w:t>(c)</w:t>
      </w:r>
      <w:r>
        <w:tab/>
        <w:t xml:space="preserve">securities issued in place of securities already </w:t>
      </w:r>
      <w:proofErr w:type="gramStart"/>
      <w:r>
        <w:t>listed;</w:t>
      </w:r>
      <w:proofErr w:type="gramEnd"/>
    </w:p>
    <w:p w14:paraId="631F8DC9" w14:textId="77777777" w:rsidR="00061B6E" w:rsidRDefault="00061B6E">
      <w:pPr>
        <w:pStyle w:val="a-000"/>
      </w:pPr>
      <w:r>
        <w:tab/>
        <w:t>(d)</w:t>
      </w:r>
      <w:r>
        <w:tab/>
        <w:t xml:space="preserve">securities issued/allotted to employees, if securities of the same class are already </w:t>
      </w:r>
      <w:proofErr w:type="gramStart"/>
      <w:r>
        <w:t>listed;</w:t>
      </w:r>
      <w:proofErr w:type="gramEnd"/>
    </w:p>
    <w:p w14:paraId="4C8F47AA" w14:textId="77777777" w:rsidR="00061B6E" w:rsidRDefault="00061B6E">
      <w:pPr>
        <w:pStyle w:val="a-000"/>
      </w:pPr>
      <w:r>
        <w:tab/>
        <w:t>(e)</w:t>
      </w:r>
      <w:r>
        <w:tab/>
        <w:t xml:space="preserve">securities issued relating to the extension of a business contemplated by, and previously described in, a pre-listing </w:t>
      </w:r>
      <w:proofErr w:type="gramStart"/>
      <w:r>
        <w:t>statement;</w:t>
      </w:r>
      <w:proofErr w:type="gramEnd"/>
    </w:p>
    <w:p w14:paraId="2FBD10F6" w14:textId="77777777" w:rsidR="00061B6E" w:rsidRDefault="00061B6E">
      <w:pPr>
        <w:pStyle w:val="a-000"/>
      </w:pPr>
      <w:r>
        <w:tab/>
        <w:t>(f)</w:t>
      </w:r>
      <w:r>
        <w:tab/>
        <w:t xml:space="preserve">securities issued as a result of a capitalisation/bonus </w:t>
      </w:r>
      <w:proofErr w:type="gramStart"/>
      <w:r>
        <w:t>issue;</w:t>
      </w:r>
      <w:proofErr w:type="gramEnd"/>
    </w:p>
    <w:p w14:paraId="03407CCC" w14:textId="77777777" w:rsidR="00061B6E" w:rsidRDefault="00061B6E">
      <w:pPr>
        <w:pStyle w:val="a-000"/>
      </w:pPr>
      <w:r>
        <w:tab/>
        <w:t>(g)</w:t>
      </w:r>
      <w:r>
        <w:tab/>
        <w:t xml:space="preserve">securities issued </w:t>
      </w:r>
      <w:proofErr w:type="gramStart"/>
      <w:r>
        <w:t>as a result of</w:t>
      </w:r>
      <w:proofErr w:type="gramEnd"/>
      <w:r>
        <w:t xml:space="preserve"> a rights offer; or</w:t>
      </w:r>
      <w:r w:rsidRPr="00174F05">
        <w:rPr>
          <w:rStyle w:val="FootnoteReference"/>
          <w:vertAlign w:val="baseline"/>
        </w:rPr>
        <w:footnoteReference w:customMarkFollows="1" w:id="3"/>
        <w:t> </w:t>
      </w:r>
    </w:p>
    <w:p w14:paraId="5C003FE7" w14:textId="77777777" w:rsidR="00061B6E" w:rsidRDefault="00061B6E">
      <w:pPr>
        <w:pStyle w:val="a-000"/>
      </w:pPr>
      <w:r>
        <w:lastRenderedPageBreak/>
        <w:tab/>
        <w:t>(h)</w:t>
      </w:r>
      <w:r>
        <w:tab/>
        <w:t>an issue of securities that, together with any securities of the same class issued in the previous three months, would increase the securities issued by less than 50% (for this purpose a series of issues in connection with a single transaction, or series of transactions that is regarded by the JSE as a single transaction, will be aggregated and deemed to be a single issue for purposes of measurement against the 50% level).</w:t>
      </w:r>
      <w:r w:rsidRPr="00174F05">
        <w:rPr>
          <w:rStyle w:val="FootnoteReference"/>
          <w:vertAlign w:val="baseline"/>
        </w:rPr>
        <w:footnoteReference w:customMarkFollows="1" w:id="4"/>
        <w:t> </w:t>
      </w:r>
    </w:p>
    <w:p w14:paraId="10A057B1" w14:textId="77777777" w:rsidR="00061B6E" w:rsidRDefault="00061B6E">
      <w:pPr>
        <w:pStyle w:val="000"/>
      </w:pPr>
      <w:r>
        <w:t>6.20</w:t>
      </w:r>
      <w:r>
        <w:tab/>
        <w:t xml:space="preserve">When a pre-listing statement is not required in terms of paragraph 6.19, further information, which the JSE considers investors may reasonably require for the purposes of making an informed assessment of the prospects and status of the applicant, may be required to be announced and, in certain instances, a circular may also be required to be sent to shareholders (refer to Sections 9, 10 and 11). In regard hereto, applicants must consult with the JSE at an early stage to determine the JSE’s requirements, if any. </w:t>
      </w:r>
    </w:p>
    <w:p w14:paraId="7250D273" w14:textId="77777777" w:rsidR="00061B6E" w:rsidRDefault="00061B6E">
      <w:pPr>
        <w:pStyle w:val="head1"/>
      </w:pPr>
      <w:r>
        <w:t>Acquisition issues</w:t>
      </w:r>
    </w:p>
    <w:p w14:paraId="21A68BFA" w14:textId="77777777" w:rsidR="00061B6E" w:rsidRDefault="00061B6E">
      <w:pPr>
        <w:pStyle w:val="000"/>
      </w:pPr>
      <w:r>
        <w:t>6.21</w:t>
      </w:r>
      <w:r>
        <w:tab/>
        <w:t>In terms of an acquisition issue (where the consideration for a purchase of assets, regulated by Section 9, or for an offer to shareholders, regulated by the Panel, consists of securities for which a listing will be sought) a pre-listing statement may be required as described in paragraph 6.1 and 9.22. When a pre-listing statement has already been published and the consideration for the acquisition or offer is revised, resulting in the issue of a greater number of shares for which application for listing will be made, a supplementary pre-listing statement may be required (refer to paragraphs 6.13 and 6.14).</w:t>
      </w:r>
      <w:r w:rsidRPr="00174F05">
        <w:rPr>
          <w:rStyle w:val="FootnoteReference"/>
          <w:vertAlign w:val="baseline"/>
        </w:rPr>
        <w:footnoteReference w:customMarkFollows="1" w:id="5"/>
        <w:t> </w:t>
      </w:r>
    </w:p>
    <w:p w14:paraId="0D54B596" w14:textId="77777777" w:rsidR="00061B6E" w:rsidRDefault="00061B6E">
      <w:pPr>
        <w:pStyle w:val="head2"/>
      </w:pPr>
      <w:r>
        <w:t>Contents of pre-listing statements</w:t>
      </w:r>
    </w:p>
    <w:p w14:paraId="05C70513" w14:textId="77777777" w:rsidR="00061B6E" w:rsidRDefault="00061B6E">
      <w:pPr>
        <w:pStyle w:val="000"/>
      </w:pPr>
      <w:r>
        <w:t>6.22</w:t>
      </w:r>
      <w:r>
        <w:tab/>
        <w:t>A pre-listing statement required in terms of paragraph 6.21 must comply with the relevant requirements of this section, subject to the following:</w:t>
      </w:r>
    </w:p>
    <w:p w14:paraId="3F1A6B9D" w14:textId="77777777" w:rsidR="00061B6E" w:rsidRDefault="00061B6E">
      <w:pPr>
        <w:pStyle w:val="a-000"/>
      </w:pPr>
      <w:r>
        <w:tab/>
        <w:t>(a)</w:t>
      </w:r>
      <w:r>
        <w:tab/>
        <w:t xml:space="preserve">references in Section 7 to the applicant’s group must also include the offeree company and its </w:t>
      </w:r>
      <w:proofErr w:type="gramStart"/>
      <w:r>
        <w:t>subsidiaries;</w:t>
      </w:r>
      <w:proofErr w:type="gramEnd"/>
    </w:p>
    <w:p w14:paraId="739F4B56" w14:textId="77777777" w:rsidR="00061B6E" w:rsidRDefault="00061B6E">
      <w:pPr>
        <w:pStyle w:val="a-000"/>
      </w:pPr>
      <w:r>
        <w:tab/>
        <w:t>(b)</w:t>
      </w:r>
      <w:r>
        <w:tab/>
        <w:t>the information regarding major shareholders (refer to paragraph 7.A.27) and directors’ interests in securities (refer to paragraph 7.B.20) must be given in relation to the applicant’s share capital both as existing and the share capital as enlarged by the securities for which listing is sought; and</w:t>
      </w:r>
    </w:p>
    <w:p w14:paraId="411A1243" w14:textId="77777777" w:rsidR="00061B6E" w:rsidRDefault="00061B6E">
      <w:pPr>
        <w:pStyle w:val="a-000"/>
      </w:pPr>
      <w:r>
        <w:tab/>
        <w:t>(c)</w:t>
      </w:r>
      <w:r>
        <w:tab/>
        <w:t>if the transaction is an offer to shareholders:</w:t>
      </w:r>
      <w:r w:rsidRPr="00174F05">
        <w:rPr>
          <w:rStyle w:val="FootnoteReference"/>
          <w:vertAlign w:val="baseline"/>
        </w:rPr>
        <w:footnoteReference w:customMarkFollows="1" w:id="6"/>
        <w:t> </w:t>
      </w:r>
    </w:p>
    <w:p w14:paraId="203B5D19" w14:textId="77777777" w:rsidR="00061B6E" w:rsidRDefault="00061B6E">
      <w:pPr>
        <w:pStyle w:val="i-000a"/>
      </w:pPr>
      <w:r>
        <w:tab/>
        <w:t>(i)</w:t>
      </w:r>
      <w:r>
        <w:tab/>
        <w:t>and is recommended by the board of directors of the offeree company at the time of the publication of the offer document, the applicant must include a working capital adequacy statement in respect of the proposed enlarged group (refer to paragraph 7.E.7) and details of material loans (refer to paragraph 7.A.15) on the basis that the offer has been completed 100% successfully (“the combined basis”);</w:t>
      </w:r>
    </w:p>
    <w:p w14:paraId="206F49DF" w14:textId="77777777" w:rsidR="00061B6E" w:rsidRDefault="00061B6E">
      <w:pPr>
        <w:pStyle w:val="i-000a"/>
      </w:pPr>
      <w:r>
        <w:tab/>
        <w:t>(ii)</w:t>
      </w:r>
      <w:r>
        <w:tab/>
        <w:t>which has not been recommended by the board of directors of the offeree company at the time of publication of the offer document, the applicant must include a working capital adequacy statement (refer to paragraph 7.E.7) and details of material loans (refer to paragraph 7.A.15) in respect of its own group only. The JSE will allow the statement on the combined basis to be provided in a later announcement, circular or supplementary pre-listing statement, within 28 days after the offer is declared unconditional.</w:t>
      </w:r>
    </w:p>
    <w:p w14:paraId="6871B5EB" w14:textId="77777777" w:rsidR="00061B6E" w:rsidRDefault="00061B6E">
      <w:pPr>
        <w:pStyle w:val="head1"/>
      </w:pPr>
      <w:r>
        <w:lastRenderedPageBreak/>
        <w:t>Publication/circulation of pre-listing statements</w:t>
      </w:r>
    </w:p>
    <w:p w14:paraId="6D5CE444" w14:textId="77777777" w:rsidR="00061B6E" w:rsidRDefault="00061B6E">
      <w:pPr>
        <w:pStyle w:val="000"/>
      </w:pPr>
      <w:r>
        <w:t>6.23</w:t>
      </w:r>
      <w:r>
        <w:tab/>
        <w:t xml:space="preserve">Pre-listing statements or supplementary pre-listing statements must be published, either in full or in an abridged form in compliance with Section 11. In either case, the full pre-listing statement must be distributed to all shareholders in accordance with paragraphs 3.49 and 3.50. Where pre-listing statements are revised or supplementary pre-listing statements are prepared, they will normally be required to be published and circulated to shareholders at the time of despatch of the revised offer document. The JSE may, in properly justified cases, be prepared to allow pre-listing statements to be published and circulated </w:t>
      </w:r>
      <w:proofErr w:type="gramStart"/>
      <w:r>
        <w:t>subsequent to</w:t>
      </w:r>
      <w:proofErr w:type="gramEnd"/>
      <w:r>
        <w:t xml:space="preserve"> the despatch of revised offer documents but before listing is granted.</w:t>
      </w:r>
    </w:p>
    <w:p w14:paraId="1FADF420" w14:textId="77777777" w:rsidR="00061B6E" w:rsidRDefault="00061B6E">
      <w:pPr>
        <w:pStyle w:val="head1"/>
      </w:pPr>
      <w:r>
        <w:t xml:space="preserve">Revised take-over </w:t>
      </w:r>
      <w:proofErr w:type="gramStart"/>
      <w:r>
        <w:t>offers</w:t>
      </w:r>
      <w:proofErr w:type="gramEnd"/>
    </w:p>
    <w:p w14:paraId="6F7B26FF" w14:textId="77777777" w:rsidR="00061B6E" w:rsidRDefault="00061B6E">
      <w:pPr>
        <w:pStyle w:val="000"/>
      </w:pPr>
      <w:r>
        <w:t>6.24</w:t>
      </w:r>
      <w:r>
        <w:tab/>
        <w:t>When a pre-listing statement has been published and circulated in connection with an offer that involves the exchange of securities for securities of another company, and the offer consideration is revised to include a new class of security for which an application for listing is to be made, it will be unnecessary to repeat the information contained in the original pre-listing statement, but any additional information applicable to the issue of the new class of securities must be contained in a supplementary pre-listing statement.</w:t>
      </w:r>
    </w:p>
    <w:sectPr w:rsidR="00061B6E">
      <w:headerReference w:type="even" r:id="rId8"/>
      <w:headerReference w:type="default" r:id="rId9"/>
      <w:footerReference w:type="even" r:id="rId10"/>
      <w:footerReference w:type="default" r:id="rId11"/>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E4481" w14:textId="77777777" w:rsidR="00327290" w:rsidRDefault="00327290">
      <w:pPr>
        <w:pStyle w:val="parafullout"/>
      </w:pPr>
      <w:r>
        <w:separator/>
      </w:r>
    </w:p>
  </w:endnote>
  <w:endnote w:type="continuationSeparator" w:id="0">
    <w:p w14:paraId="1EE29109" w14:textId="77777777" w:rsidR="00327290" w:rsidRDefault="00327290">
      <w:pPr>
        <w:pStyle w:val="parafullou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885E" w14:textId="77777777" w:rsidR="00061B6E" w:rsidRDefault="00061B6E">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061B6E" w14:paraId="634AE1E4" w14:textId="77777777">
      <w:tc>
        <w:tcPr>
          <w:tcW w:w="2835" w:type="dxa"/>
        </w:tcPr>
        <w:p w14:paraId="41BA7A28" w14:textId="77777777" w:rsidR="00061B6E" w:rsidRDefault="00061B6E">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29ED1BB0" w14:textId="77777777" w:rsidR="00061B6E" w:rsidRDefault="00061B6E">
          <w:pPr>
            <w:tabs>
              <w:tab w:val="left" w:pos="6521"/>
            </w:tabs>
            <w:spacing w:line="180" w:lineRule="exact"/>
            <w:jc w:val="center"/>
            <w:rPr>
              <w:rFonts w:ascii="Rockwell" w:hAnsi="Rockwell"/>
              <w:sz w:val="16"/>
              <w:u w:val="single"/>
            </w:rPr>
          </w:pPr>
          <w:r>
            <w:rPr>
              <w:rStyle w:val="PageNumber"/>
              <w:rFonts w:ascii="Rockwell" w:hAnsi="Rockwell"/>
              <w:sz w:val="16"/>
            </w:rPr>
            <w:t>6–</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8</w:t>
          </w:r>
          <w:r>
            <w:rPr>
              <w:rStyle w:val="PageNumber"/>
              <w:rFonts w:ascii="Rockwell" w:hAnsi="Rockwell"/>
              <w:sz w:val="16"/>
            </w:rPr>
            <w:fldChar w:fldCharType="end"/>
          </w:r>
        </w:p>
      </w:tc>
      <w:tc>
        <w:tcPr>
          <w:tcW w:w="2835" w:type="dxa"/>
        </w:tcPr>
        <w:p w14:paraId="084BE989" w14:textId="77777777" w:rsidR="00061B6E" w:rsidRDefault="00061B6E">
          <w:pPr>
            <w:tabs>
              <w:tab w:val="left" w:pos="6521"/>
            </w:tabs>
            <w:spacing w:line="180" w:lineRule="exact"/>
            <w:ind w:right="57"/>
            <w:jc w:val="right"/>
            <w:rPr>
              <w:rFonts w:ascii="Rockwell" w:hAnsi="Rockwell"/>
              <w:sz w:val="14"/>
            </w:rPr>
          </w:pPr>
        </w:p>
      </w:tc>
    </w:tr>
  </w:tbl>
  <w:p w14:paraId="4AC8DFB7" w14:textId="77777777" w:rsidR="00061B6E" w:rsidRDefault="00061B6E">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B94A" w14:textId="77777777" w:rsidR="00061B6E" w:rsidRDefault="00061B6E">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9B959" w14:textId="77777777" w:rsidR="00327290" w:rsidRDefault="00327290">
      <w:pPr>
        <w:pStyle w:val="parafullout"/>
      </w:pPr>
      <w:r>
        <w:separator/>
      </w:r>
    </w:p>
  </w:footnote>
  <w:footnote w:type="continuationSeparator" w:id="0">
    <w:p w14:paraId="4C98FCA7" w14:textId="77777777" w:rsidR="00327290" w:rsidRDefault="00327290">
      <w:pPr>
        <w:pStyle w:val="parafullout"/>
      </w:pPr>
      <w:r>
        <w:continuationSeparator/>
      </w:r>
    </w:p>
  </w:footnote>
  <w:footnote w:id="1">
    <w:p w14:paraId="7CD9A1CB" w14:textId="6BECEA62" w:rsidR="00875BB7" w:rsidRPr="00875BB7" w:rsidRDefault="00875BB7" w:rsidP="00875BB7">
      <w:pPr>
        <w:pStyle w:val="footnotes"/>
        <w:rPr>
          <w:lang w:val="en-ZA"/>
        </w:rPr>
      </w:pPr>
    </w:p>
  </w:footnote>
  <w:footnote w:id="2">
    <w:p w14:paraId="4420DFE2" w14:textId="244786A5" w:rsidR="00061B6E" w:rsidRDefault="00061B6E">
      <w:pPr>
        <w:pStyle w:val="footnotes"/>
        <w:rPr>
          <w:lang w:val="en-ZA"/>
        </w:rPr>
      </w:pPr>
    </w:p>
  </w:footnote>
  <w:footnote w:id="3">
    <w:p w14:paraId="3C39B3BF" w14:textId="7AE8A31D" w:rsidR="00061B6E" w:rsidRDefault="00061B6E">
      <w:pPr>
        <w:pStyle w:val="footnotes"/>
      </w:pPr>
    </w:p>
  </w:footnote>
  <w:footnote w:id="4">
    <w:p w14:paraId="0CB18DA4" w14:textId="582DC15D" w:rsidR="00061B6E" w:rsidRDefault="00061B6E">
      <w:pPr>
        <w:pStyle w:val="footnotes"/>
        <w:rPr>
          <w:lang w:val="en-ZA"/>
        </w:rPr>
      </w:pPr>
    </w:p>
  </w:footnote>
  <w:footnote w:id="5">
    <w:p w14:paraId="12938B99" w14:textId="4D01C6A0" w:rsidR="00061B6E" w:rsidRDefault="00061B6E">
      <w:pPr>
        <w:pStyle w:val="footnotes"/>
        <w:rPr>
          <w:lang w:val="en-ZA"/>
        </w:rPr>
      </w:pPr>
    </w:p>
  </w:footnote>
  <w:footnote w:id="6">
    <w:p w14:paraId="415F16D8" w14:textId="67052FA5" w:rsidR="00061B6E" w:rsidRDefault="00061B6E">
      <w:pPr>
        <w:pStyle w:val="footnotes"/>
        <w:rPr>
          <w:lang w:val="en-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3E6B" w14:textId="77777777" w:rsidR="00061B6E" w:rsidRDefault="00061B6E">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A7C0" w14:textId="77777777" w:rsidR="00061B6E" w:rsidRDefault="00061B6E">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1F18"/>
    <w:multiLevelType w:val="multilevel"/>
    <w:tmpl w:val="00448298"/>
    <w:lvl w:ilvl="0">
      <w:start w:val="6"/>
      <w:numFmt w:val="decimal"/>
      <w:lvlText w:val="%1"/>
      <w:lvlJc w:val="left"/>
      <w:pPr>
        <w:tabs>
          <w:tab w:val="num" w:pos="855"/>
        </w:tabs>
        <w:ind w:left="855" w:hanging="855"/>
      </w:pPr>
      <w:rPr>
        <w:rFonts w:hint="default"/>
      </w:rPr>
    </w:lvl>
    <w:lvl w:ilvl="1">
      <w:start w:val="2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2"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4" w15:restartNumberingAfterBreak="0">
    <w:nsid w:val="0DF76D61"/>
    <w:multiLevelType w:val="multilevel"/>
    <w:tmpl w:val="17CC4BA8"/>
    <w:lvl w:ilvl="0">
      <w:start w:val="9"/>
      <w:numFmt w:val="lowerLetter"/>
      <w:lvlText w:val="(%1)"/>
      <w:lvlJc w:val="left"/>
      <w:pPr>
        <w:tabs>
          <w:tab w:val="num" w:pos="3315"/>
        </w:tabs>
        <w:ind w:left="3315" w:hanging="360"/>
      </w:pPr>
      <w:rPr>
        <w:rFonts w:hint="default"/>
      </w:rPr>
    </w:lvl>
    <w:lvl w:ilvl="1" w:tentative="1">
      <w:start w:val="1"/>
      <w:numFmt w:val="lowerLetter"/>
      <w:lvlText w:val="%2."/>
      <w:lvlJc w:val="left"/>
      <w:pPr>
        <w:tabs>
          <w:tab w:val="num" w:pos="4035"/>
        </w:tabs>
        <w:ind w:left="4035" w:hanging="360"/>
      </w:pPr>
    </w:lvl>
    <w:lvl w:ilvl="2" w:tentative="1">
      <w:start w:val="1"/>
      <w:numFmt w:val="lowerRoman"/>
      <w:lvlText w:val="%3."/>
      <w:lvlJc w:val="right"/>
      <w:pPr>
        <w:tabs>
          <w:tab w:val="num" w:pos="4755"/>
        </w:tabs>
        <w:ind w:left="4755" w:hanging="180"/>
      </w:pPr>
    </w:lvl>
    <w:lvl w:ilvl="3">
      <w:start w:val="1"/>
      <w:numFmt w:val="decimal"/>
      <w:lvlText w:val="%4."/>
      <w:lvlJc w:val="left"/>
      <w:pPr>
        <w:tabs>
          <w:tab w:val="num" w:pos="5475"/>
        </w:tabs>
        <w:ind w:left="5475" w:hanging="360"/>
      </w:pPr>
    </w:lvl>
    <w:lvl w:ilvl="4" w:tentative="1">
      <w:start w:val="1"/>
      <w:numFmt w:val="lowerLetter"/>
      <w:lvlText w:val="%5."/>
      <w:lvlJc w:val="left"/>
      <w:pPr>
        <w:tabs>
          <w:tab w:val="num" w:pos="6195"/>
        </w:tabs>
        <w:ind w:left="6195" w:hanging="360"/>
      </w:pPr>
    </w:lvl>
    <w:lvl w:ilvl="5" w:tentative="1">
      <w:start w:val="1"/>
      <w:numFmt w:val="lowerRoman"/>
      <w:lvlText w:val="%6."/>
      <w:lvlJc w:val="right"/>
      <w:pPr>
        <w:tabs>
          <w:tab w:val="num" w:pos="6915"/>
        </w:tabs>
        <w:ind w:left="6915" w:hanging="180"/>
      </w:pPr>
    </w:lvl>
    <w:lvl w:ilvl="6" w:tentative="1">
      <w:start w:val="1"/>
      <w:numFmt w:val="decimal"/>
      <w:lvlText w:val="%7."/>
      <w:lvlJc w:val="left"/>
      <w:pPr>
        <w:tabs>
          <w:tab w:val="num" w:pos="7635"/>
        </w:tabs>
        <w:ind w:left="7635" w:hanging="360"/>
      </w:pPr>
    </w:lvl>
    <w:lvl w:ilvl="7" w:tentative="1">
      <w:start w:val="1"/>
      <w:numFmt w:val="lowerLetter"/>
      <w:lvlText w:val="%8."/>
      <w:lvlJc w:val="left"/>
      <w:pPr>
        <w:tabs>
          <w:tab w:val="num" w:pos="8355"/>
        </w:tabs>
        <w:ind w:left="8355" w:hanging="360"/>
      </w:pPr>
    </w:lvl>
    <w:lvl w:ilvl="8" w:tentative="1">
      <w:start w:val="1"/>
      <w:numFmt w:val="lowerRoman"/>
      <w:lvlText w:val="%9."/>
      <w:lvlJc w:val="right"/>
      <w:pPr>
        <w:tabs>
          <w:tab w:val="num" w:pos="9075"/>
        </w:tabs>
        <w:ind w:left="9075" w:hanging="180"/>
      </w:pPr>
    </w:lvl>
  </w:abstractNum>
  <w:abstractNum w:abstractNumId="5" w15:restartNumberingAfterBreak="0">
    <w:nsid w:val="1F7F7A6C"/>
    <w:multiLevelType w:val="hybridMultilevel"/>
    <w:tmpl w:val="C74C278E"/>
    <w:lvl w:ilvl="0" w:tplc="65C2362A">
      <w:start w:val="1"/>
      <w:numFmt w:val="bullet"/>
      <w:lvlText w:val=""/>
      <w:lvlJc w:val="left"/>
      <w:pPr>
        <w:tabs>
          <w:tab w:val="num" w:pos="360"/>
        </w:tabs>
        <w:ind w:left="360" w:hanging="360"/>
      </w:pPr>
      <w:rPr>
        <w:rFonts w:ascii="Symbol" w:hAnsi="Symbol" w:hint="default"/>
      </w:rPr>
    </w:lvl>
    <w:lvl w:ilvl="1" w:tplc="58146FF8" w:tentative="1">
      <w:start w:val="1"/>
      <w:numFmt w:val="bullet"/>
      <w:lvlText w:val="o"/>
      <w:lvlJc w:val="left"/>
      <w:pPr>
        <w:tabs>
          <w:tab w:val="num" w:pos="1080"/>
        </w:tabs>
        <w:ind w:left="1080" w:hanging="360"/>
      </w:pPr>
      <w:rPr>
        <w:rFonts w:ascii="Courier New" w:hAnsi="Courier New" w:hint="default"/>
      </w:rPr>
    </w:lvl>
    <w:lvl w:ilvl="2" w:tplc="0A8ACC44" w:tentative="1">
      <w:start w:val="1"/>
      <w:numFmt w:val="bullet"/>
      <w:lvlText w:val=""/>
      <w:lvlJc w:val="left"/>
      <w:pPr>
        <w:tabs>
          <w:tab w:val="num" w:pos="1800"/>
        </w:tabs>
        <w:ind w:left="1800" w:hanging="360"/>
      </w:pPr>
      <w:rPr>
        <w:rFonts w:ascii="Wingdings" w:hAnsi="Wingdings" w:hint="default"/>
      </w:rPr>
    </w:lvl>
    <w:lvl w:ilvl="3" w:tplc="C8980C92" w:tentative="1">
      <w:start w:val="1"/>
      <w:numFmt w:val="bullet"/>
      <w:lvlText w:val=""/>
      <w:lvlJc w:val="left"/>
      <w:pPr>
        <w:tabs>
          <w:tab w:val="num" w:pos="2520"/>
        </w:tabs>
        <w:ind w:left="2520" w:hanging="360"/>
      </w:pPr>
      <w:rPr>
        <w:rFonts w:ascii="Symbol" w:hAnsi="Symbol" w:hint="default"/>
      </w:rPr>
    </w:lvl>
    <w:lvl w:ilvl="4" w:tplc="8452DB3C" w:tentative="1">
      <w:start w:val="1"/>
      <w:numFmt w:val="bullet"/>
      <w:lvlText w:val="o"/>
      <w:lvlJc w:val="left"/>
      <w:pPr>
        <w:tabs>
          <w:tab w:val="num" w:pos="3240"/>
        </w:tabs>
        <w:ind w:left="3240" w:hanging="360"/>
      </w:pPr>
      <w:rPr>
        <w:rFonts w:ascii="Courier New" w:hAnsi="Courier New" w:hint="default"/>
      </w:rPr>
    </w:lvl>
    <w:lvl w:ilvl="5" w:tplc="4EDA6720" w:tentative="1">
      <w:start w:val="1"/>
      <w:numFmt w:val="bullet"/>
      <w:lvlText w:val=""/>
      <w:lvlJc w:val="left"/>
      <w:pPr>
        <w:tabs>
          <w:tab w:val="num" w:pos="3960"/>
        </w:tabs>
        <w:ind w:left="3960" w:hanging="360"/>
      </w:pPr>
      <w:rPr>
        <w:rFonts w:ascii="Wingdings" w:hAnsi="Wingdings" w:hint="default"/>
      </w:rPr>
    </w:lvl>
    <w:lvl w:ilvl="6" w:tplc="AAA4D2C4" w:tentative="1">
      <w:start w:val="1"/>
      <w:numFmt w:val="bullet"/>
      <w:lvlText w:val=""/>
      <w:lvlJc w:val="left"/>
      <w:pPr>
        <w:tabs>
          <w:tab w:val="num" w:pos="4680"/>
        </w:tabs>
        <w:ind w:left="4680" w:hanging="360"/>
      </w:pPr>
      <w:rPr>
        <w:rFonts w:ascii="Symbol" w:hAnsi="Symbol" w:hint="default"/>
      </w:rPr>
    </w:lvl>
    <w:lvl w:ilvl="7" w:tplc="48DA2888" w:tentative="1">
      <w:start w:val="1"/>
      <w:numFmt w:val="bullet"/>
      <w:lvlText w:val="o"/>
      <w:lvlJc w:val="left"/>
      <w:pPr>
        <w:tabs>
          <w:tab w:val="num" w:pos="5400"/>
        </w:tabs>
        <w:ind w:left="5400" w:hanging="360"/>
      </w:pPr>
      <w:rPr>
        <w:rFonts w:ascii="Courier New" w:hAnsi="Courier New" w:hint="default"/>
      </w:rPr>
    </w:lvl>
    <w:lvl w:ilvl="8" w:tplc="397A468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225C84"/>
    <w:multiLevelType w:val="hybridMultilevel"/>
    <w:tmpl w:val="5D3A0630"/>
    <w:lvl w:ilvl="0" w:tplc="1646BB26">
      <w:start w:val="4"/>
      <w:numFmt w:val="lowerRoman"/>
      <w:lvlText w:val="(%1)"/>
      <w:lvlJc w:val="left"/>
      <w:pPr>
        <w:tabs>
          <w:tab w:val="num" w:pos="1080"/>
        </w:tabs>
        <w:ind w:left="1080" w:hanging="720"/>
      </w:pPr>
      <w:rPr>
        <w:rFonts w:hint="default"/>
      </w:rPr>
    </w:lvl>
    <w:lvl w:ilvl="1" w:tplc="2CF2C0F8">
      <w:start w:val="1"/>
      <w:numFmt w:val="decimal"/>
      <w:lvlText w:val="(%2)"/>
      <w:lvlJc w:val="left"/>
      <w:pPr>
        <w:tabs>
          <w:tab w:val="num" w:pos="1440"/>
        </w:tabs>
        <w:ind w:left="1440" w:hanging="360"/>
      </w:pPr>
      <w:rPr>
        <w:rFonts w:hint="default"/>
      </w:rPr>
    </w:lvl>
    <w:lvl w:ilvl="2" w:tplc="7996FE08">
      <w:start w:val="1"/>
      <w:numFmt w:val="lowerRoman"/>
      <w:lvlText w:val="%3."/>
      <w:lvlJc w:val="right"/>
      <w:pPr>
        <w:tabs>
          <w:tab w:val="num" w:pos="2160"/>
        </w:tabs>
        <w:ind w:left="2160" w:hanging="180"/>
      </w:pPr>
    </w:lvl>
    <w:lvl w:ilvl="3" w:tplc="07FE1222" w:tentative="1">
      <w:start w:val="1"/>
      <w:numFmt w:val="decimal"/>
      <w:lvlText w:val="%4."/>
      <w:lvlJc w:val="left"/>
      <w:pPr>
        <w:tabs>
          <w:tab w:val="num" w:pos="2880"/>
        </w:tabs>
        <w:ind w:left="2880" w:hanging="360"/>
      </w:pPr>
    </w:lvl>
    <w:lvl w:ilvl="4" w:tplc="E7682A0C" w:tentative="1">
      <w:start w:val="1"/>
      <w:numFmt w:val="lowerLetter"/>
      <w:lvlText w:val="%5."/>
      <w:lvlJc w:val="left"/>
      <w:pPr>
        <w:tabs>
          <w:tab w:val="num" w:pos="3600"/>
        </w:tabs>
        <w:ind w:left="3600" w:hanging="360"/>
      </w:pPr>
    </w:lvl>
    <w:lvl w:ilvl="5" w:tplc="983CE53A" w:tentative="1">
      <w:start w:val="1"/>
      <w:numFmt w:val="lowerRoman"/>
      <w:lvlText w:val="%6."/>
      <w:lvlJc w:val="right"/>
      <w:pPr>
        <w:tabs>
          <w:tab w:val="num" w:pos="4320"/>
        </w:tabs>
        <w:ind w:left="4320" w:hanging="180"/>
      </w:pPr>
    </w:lvl>
    <w:lvl w:ilvl="6" w:tplc="7ACE9208" w:tentative="1">
      <w:start w:val="1"/>
      <w:numFmt w:val="decimal"/>
      <w:lvlText w:val="%7."/>
      <w:lvlJc w:val="left"/>
      <w:pPr>
        <w:tabs>
          <w:tab w:val="num" w:pos="5040"/>
        </w:tabs>
        <w:ind w:left="5040" w:hanging="360"/>
      </w:pPr>
    </w:lvl>
    <w:lvl w:ilvl="7" w:tplc="BC1AAAEE" w:tentative="1">
      <w:start w:val="1"/>
      <w:numFmt w:val="lowerLetter"/>
      <w:lvlText w:val="%8."/>
      <w:lvlJc w:val="left"/>
      <w:pPr>
        <w:tabs>
          <w:tab w:val="num" w:pos="5760"/>
        </w:tabs>
        <w:ind w:left="5760" w:hanging="360"/>
      </w:pPr>
    </w:lvl>
    <w:lvl w:ilvl="8" w:tplc="E0AE3002" w:tentative="1">
      <w:start w:val="1"/>
      <w:numFmt w:val="lowerRoman"/>
      <w:lvlText w:val="%9."/>
      <w:lvlJc w:val="right"/>
      <w:pPr>
        <w:tabs>
          <w:tab w:val="num" w:pos="6480"/>
        </w:tabs>
        <w:ind w:left="6480" w:hanging="180"/>
      </w:pPr>
    </w:lvl>
  </w:abstractNum>
  <w:abstractNum w:abstractNumId="7"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8" w15:restartNumberingAfterBreak="0">
    <w:nsid w:val="320D4B70"/>
    <w:multiLevelType w:val="multilevel"/>
    <w:tmpl w:val="93465068"/>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5172DB"/>
    <w:multiLevelType w:val="multilevel"/>
    <w:tmpl w:val="29DC4688"/>
    <w:lvl w:ilvl="0">
      <w:start w:val="6"/>
      <w:numFmt w:val="decimal"/>
      <w:lvlText w:val="%1"/>
      <w:lvlJc w:val="left"/>
      <w:pPr>
        <w:tabs>
          <w:tab w:val="num" w:pos="420"/>
        </w:tabs>
        <w:ind w:left="420" w:hanging="420"/>
      </w:pPr>
      <w:rPr>
        <w:rFonts w:hint="default"/>
      </w:rPr>
    </w:lvl>
    <w:lvl w:ilvl="1">
      <w:start w:val="2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11"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2"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14"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6" w15:restartNumberingAfterBreak="0">
    <w:nsid w:val="71B871F4"/>
    <w:multiLevelType w:val="multilevel"/>
    <w:tmpl w:val="8FD6AA52"/>
    <w:lvl w:ilvl="0">
      <w:start w:val="3"/>
      <w:numFmt w:val="lowerLetter"/>
      <w:lvlText w:val="(%1)"/>
      <w:lvlJc w:val="left"/>
      <w:pPr>
        <w:tabs>
          <w:tab w:val="num" w:pos="1155"/>
        </w:tabs>
        <w:ind w:left="1155" w:hanging="360"/>
      </w:pPr>
      <w:rPr>
        <w:rFonts w:hint="default"/>
      </w:rPr>
    </w:lvl>
    <w:lvl w:ilvl="1">
      <w:start w:val="2"/>
      <w:numFmt w:val="lowerLetter"/>
      <w:lvlText w:val="(%2)"/>
      <w:lvlJc w:val="left"/>
      <w:pPr>
        <w:tabs>
          <w:tab w:val="num" w:pos="1875"/>
        </w:tabs>
        <w:ind w:left="1875" w:hanging="360"/>
      </w:pPr>
      <w:rPr>
        <w:rFonts w:hint="default"/>
      </w:rPr>
    </w:lvl>
    <w:lvl w:ilvl="2" w:tentative="1">
      <w:start w:val="1"/>
      <w:numFmt w:val="lowerRoman"/>
      <w:lvlText w:val="%3."/>
      <w:lvlJc w:val="right"/>
      <w:pPr>
        <w:tabs>
          <w:tab w:val="num" w:pos="2595"/>
        </w:tabs>
        <w:ind w:left="2595" w:hanging="180"/>
      </w:pPr>
    </w:lvl>
    <w:lvl w:ilvl="3">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7"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8" w15:restartNumberingAfterBreak="0">
    <w:nsid w:val="7C1D2953"/>
    <w:multiLevelType w:val="multilevel"/>
    <w:tmpl w:val="4F667396"/>
    <w:lvl w:ilvl="0">
      <w:start w:val="1"/>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64021544">
    <w:abstractNumId w:val="10"/>
  </w:num>
  <w:num w:numId="2" w16cid:durableId="2034719385">
    <w:abstractNumId w:val="15"/>
  </w:num>
  <w:num w:numId="3" w16cid:durableId="1917742914">
    <w:abstractNumId w:val="5"/>
  </w:num>
  <w:num w:numId="4" w16cid:durableId="273750675">
    <w:abstractNumId w:val="6"/>
  </w:num>
  <w:num w:numId="5" w16cid:durableId="566770462">
    <w:abstractNumId w:val="1"/>
  </w:num>
  <w:num w:numId="6" w16cid:durableId="622343839">
    <w:abstractNumId w:val="11"/>
  </w:num>
  <w:num w:numId="7" w16cid:durableId="786630313">
    <w:abstractNumId w:val="7"/>
  </w:num>
  <w:num w:numId="8" w16cid:durableId="586420756">
    <w:abstractNumId w:val="14"/>
  </w:num>
  <w:num w:numId="9" w16cid:durableId="1202790828">
    <w:abstractNumId w:val="3"/>
  </w:num>
  <w:num w:numId="10" w16cid:durableId="2052730327">
    <w:abstractNumId w:val="19"/>
  </w:num>
  <w:num w:numId="11" w16cid:durableId="1134370746">
    <w:abstractNumId w:val="13"/>
  </w:num>
  <w:num w:numId="12" w16cid:durableId="1530946112">
    <w:abstractNumId w:val="17"/>
  </w:num>
  <w:num w:numId="13" w16cid:durableId="230432259">
    <w:abstractNumId w:val="2"/>
  </w:num>
  <w:num w:numId="14" w16cid:durableId="528614051">
    <w:abstractNumId w:val="12"/>
  </w:num>
  <w:num w:numId="15" w16cid:durableId="1434786710">
    <w:abstractNumId w:val="0"/>
  </w:num>
  <w:num w:numId="16" w16cid:durableId="1987662790">
    <w:abstractNumId w:val="9"/>
  </w:num>
  <w:num w:numId="17" w16cid:durableId="737243385">
    <w:abstractNumId w:val="18"/>
  </w:num>
  <w:num w:numId="18" w16cid:durableId="1255361637">
    <w:abstractNumId w:val="16"/>
  </w:num>
  <w:num w:numId="19" w16cid:durableId="1950356775">
    <w:abstractNumId w:val="8"/>
  </w:num>
  <w:num w:numId="20" w16cid:durableId="696930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F05"/>
    <w:rsid w:val="00061B6E"/>
    <w:rsid w:val="00087F36"/>
    <w:rsid w:val="00174F05"/>
    <w:rsid w:val="00250F41"/>
    <w:rsid w:val="00292EAD"/>
    <w:rsid w:val="00307D00"/>
    <w:rsid w:val="00327290"/>
    <w:rsid w:val="003447B8"/>
    <w:rsid w:val="00664F79"/>
    <w:rsid w:val="00696938"/>
    <w:rsid w:val="00873D49"/>
    <w:rsid w:val="00875BB7"/>
    <w:rsid w:val="008E063F"/>
    <w:rsid w:val="00963765"/>
    <w:rsid w:val="009A15BA"/>
    <w:rsid w:val="00A050A1"/>
    <w:rsid w:val="00F667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70B19"/>
  <w15:chartTrackingRefBased/>
  <w15:docId w15:val="{1637DE47-8534-4AC2-9DA7-09885370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63F"/>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8E063F"/>
    <w:pPr>
      <w:tabs>
        <w:tab w:val="left" w:pos="794"/>
        <w:tab w:val="left" w:pos="1304"/>
      </w:tabs>
      <w:ind w:left="1304" w:hanging="1304"/>
    </w:pPr>
  </w:style>
  <w:style w:type="paragraph" w:customStyle="1" w:styleId="000">
    <w:name w:val="0.00"/>
    <w:basedOn w:val="Normal"/>
    <w:rsid w:val="008E063F"/>
    <w:pPr>
      <w:tabs>
        <w:tab w:val="left" w:pos="794"/>
      </w:tabs>
      <w:ind w:left="794" w:hanging="794"/>
    </w:pPr>
  </w:style>
  <w:style w:type="paragraph" w:customStyle="1" w:styleId="head1">
    <w:name w:val="head1"/>
    <w:basedOn w:val="Normal"/>
    <w:rsid w:val="008E063F"/>
    <w:pPr>
      <w:spacing w:before="360"/>
      <w:jc w:val="left"/>
    </w:pPr>
    <w:rPr>
      <w:b/>
    </w:rPr>
  </w:style>
  <w:style w:type="paragraph" w:customStyle="1" w:styleId="tabletext">
    <w:name w:val="tabletext"/>
    <w:basedOn w:val="Normal"/>
    <w:rsid w:val="008E063F"/>
    <w:pPr>
      <w:spacing w:before="0"/>
      <w:jc w:val="left"/>
    </w:pPr>
    <w:rPr>
      <w:sz w:val="16"/>
    </w:rPr>
  </w:style>
  <w:style w:type="paragraph" w:customStyle="1" w:styleId="head2">
    <w:name w:val="head2"/>
    <w:basedOn w:val="Normal"/>
    <w:rsid w:val="008E063F"/>
    <w:pPr>
      <w:spacing w:before="300"/>
      <w:jc w:val="left"/>
    </w:pPr>
    <w:rPr>
      <w:b/>
    </w:rPr>
  </w:style>
  <w:style w:type="paragraph" w:customStyle="1" w:styleId="quote-000">
    <w:name w:val="quote-0.00"/>
    <w:basedOn w:val="Normal"/>
    <w:rsid w:val="008E063F"/>
    <w:pPr>
      <w:spacing w:before="40" w:after="40"/>
      <w:ind w:left="1418"/>
    </w:pPr>
    <w:rPr>
      <w:sz w:val="16"/>
    </w:rPr>
  </w:style>
  <w:style w:type="paragraph" w:customStyle="1" w:styleId="a-">
    <w:name w:val="(a)-"/>
    <w:basedOn w:val="Normal"/>
    <w:rsid w:val="008E063F"/>
    <w:pPr>
      <w:tabs>
        <w:tab w:val="left" w:pos="510"/>
      </w:tabs>
      <w:ind w:left="510" w:hanging="510"/>
    </w:pPr>
  </w:style>
  <w:style w:type="paragraph" w:customStyle="1" w:styleId="a-0000">
    <w:name w:val="(a)-00.00"/>
    <w:basedOn w:val="Normal"/>
    <w:rsid w:val="008E063F"/>
    <w:pPr>
      <w:tabs>
        <w:tab w:val="left" w:pos="794"/>
        <w:tab w:val="left" w:pos="1304"/>
      </w:tabs>
      <w:ind w:left="1304" w:hanging="1304"/>
    </w:pPr>
  </w:style>
  <w:style w:type="paragraph" w:customStyle="1" w:styleId="i-000a">
    <w:name w:val="(i)-0.00(a)"/>
    <w:basedOn w:val="Normal"/>
    <w:rsid w:val="008E063F"/>
    <w:pPr>
      <w:tabs>
        <w:tab w:val="right" w:pos="1758"/>
        <w:tab w:val="left" w:pos="1928"/>
      </w:tabs>
      <w:ind w:left="1928" w:hanging="1928"/>
    </w:pPr>
  </w:style>
  <w:style w:type="paragraph" w:customStyle="1" w:styleId="i-0000a">
    <w:name w:val="(i)-00.00(a)"/>
    <w:basedOn w:val="Normal"/>
    <w:rsid w:val="008E063F"/>
    <w:pPr>
      <w:tabs>
        <w:tab w:val="right" w:pos="1701"/>
        <w:tab w:val="left" w:pos="1814"/>
      </w:tabs>
      <w:ind w:left="1814" w:hanging="1814"/>
    </w:pPr>
  </w:style>
  <w:style w:type="paragraph" w:customStyle="1" w:styleId="0000">
    <w:name w:val="00.00"/>
    <w:basedOn w:val="Normal"/>
    <w:rsid w:val="008E063F"/>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8E063F"/>
    <w:pPr>
      <w:tabs>
        <w:tab w:val="left" w:pos="851"/>
      </w:tabs>
      <w:ind w:left="851" w:hanging="851"/>
    </w:pPr>
  </w:style>
  <w:style w:type="paragraph" w:customStyle="1" w:styleId="chaphead">
    <w:name w:val="chaphead"/>
    <w:basedOn w:val="Normal"/>
    <w:rsid w:val="008E063F"/>
    <w:pPr>
      <w:spacing w:before="0"/>
      <w:jc w:val="center"/>
    </w:pPr>
    <w:rPr>
      <w:b/>
      <w:sz w:val="26"/>
    </w:rPr>
  </w:style>
  <w:style w:type="paragraph" w:customStyle="1" w:styleId="contsection">
    <w:name w:val="contsection"/>
    <w:basedOn w:val="Normal"/>
    <w:rsid w:val="008E063F"/>
    <w:pPr>
      <w:tabs>
        <w:tab w:val="left" w:pos="1418"/>
      </w:tabs>
      <w:ind w:left="1418" w:hanging="1418"/>
      <w:jc w:val="left"/>
    </w:pPr>
  </w:style>
  <w:style w:type="paragraph" w:customStyle="1" w:styleId="head3">
    <w:name w:val="head3"/>
    <w:basedOn w:val="Normal"/>
    <w:rsid w:val="008E063F"/>
    <w:pPr>
      <w:spacing w:before="240"/>
      <w:jc w:val="left"/>
    </w:pPr>
    <w:rPr>
      <w:b/>
      <w:i/>
    </w:rPr>
  </w:style>
  <w:style w:type="paragraph" w:customStyle="1" w:styleId="00000">
    <w:name w:val="0.000"/>
    <w:basedOn w:val="Normal"/>
    <w:rsid w:val="008E063F"/>
    <w:pPr>
      <w:tabs>
        <w:tab w:val="left" w:pos="794"/>
      </w:tabs>
      <w:spacing w:before="80"/>
      <w:ind w:left="794" w:hanging="794"/>
    </w:pPr>
  </w:style>
  <w:style w:type="paragraph" w:customStyle="1" w:styleId="a-00000">
    <w:name w:val="(a)-0.000"/>
    <w:basedOn w:val="Normal"/>
    <w:rsid w:val="008E063F"/>
    <w:pPr>
      <w:tabs>
        <w:tab w:val="left" w:pos="794"/>
        <w:tab w:val="left" w:pos="1304"/>
      </w:tabs>
      <w:ind w:left="1304" w:hanging="1304"/>
    </w:pPr>
  </w:style>
  <w:style w:type="paragraph" w:customStyle="1" w:styleId="1A1">
    <w:name w:val="1.A.1"/>
    <w:basedOn w:val="Normal"/>
    <w:rsid w:val="008E063F"/>
    <w:pPr>
      <w:tabs>
        <w:tab w:val="left" w:pos="851"/>
      </w:tabs>
      <w:ind w:left="851" w:hanging="851"/>
    </w:pPr>
  </w:style>
  <w:style w:type="paragraph" w:customStyle="1" w:styleId="a-1A1">
    <w:name w:val="(a)-1.A.1"/>
    <w:basedOn w:val="Normal"/>
    <w:rsid w:val="008E063F"/>
    <w:pPr>
      <w:tabs>
        <w:tab w:val="left" w:pos="851"/>
        <w:tab w:val="left" w:pos="1361"/>
      </w:tabs>
      <w:ind w:left="1361" w:hanging="1361"/>
    </w:pPr>
  </w:style>
  <w:style w:type="paragraph" w:customStyle="1" w:styleId="i-1A1a">
    <w:name w:val="(i)-1.A.1(a)"/>
    <w:basedOn w:val="Normal"/>
    <w:rsid w:val="008E063F"/>
    <w:pPr>
      <w:tabs>
        <w:tab w:val="right" w:pos="1758"/>
        <w:tab w:val="left" w:pos="1928"/>
      </w:tabs>
      <w:ind w:left="1928" w:hanging="1928"/>
    </w:pPr>
  </w:style>
  <w:style w:type="paragraph" w:customStyle="1" w:styleId="i-0000a0">
    <w:name w:val="(i)-0.000(a)"/>
    <w:basedOn w:val="Normal"/>
    <w:rsid w:val="008E063F"/>
    <w:pPr>
      <w:tabs>
        <w:tab w:val="right" w:pos="1758"/>
        <w:tab w:val="left" w:pos="1871"/>
      </w:tabs>
      <w:ind w:left="1871" w:hanging="1871"/>
    </w:pPr>
  </w:style>
  <w:style w:type="paragraph" w:customStyle="1" w:styleId="cont-sched">
    <w:name w:val="cont-sched"/>
    <w:basedOn w:val="Normal"/>
    <w:rsid w:val="008E063F"/>
    <w:pPr>
      <w:tabs>
        <w:tab w:val="left" w:pos="567"/>
      </w:tabs>
      <w:ind w:left="567" w:hanging="567"/>
      <w:jc w:val="left"/>
    </w:pPr>
  </w:style>
  <w:style w:type="paragraph" w:customStyle="1" w:styleId="def-1">
    <w:name w:val="def-1"/>
    <w:basedOn w:val="Normal"/>
    <w:rsid w:val="008E063F"/>
    <w:pPr>
      <w:tabs>
        <w:tab w:val="left" w:pos="3402"/>
        <w:tab w:val="left" w:pos="3686"/>
      </w:tabs>
      <w:spacing w:before="0"/>
      <w:ind w:left="3686" w:hanging="3686"/>
      <w:jc w:val="left"/>
    </w:pPr>
    <w:rPr>
      <w:sz w:val="16"/>
    </w:rPr>
  </w:style>
  <w:style w:type="paragraph" w:customStyle="1" w:styleId="def-a1">
    <w:name w:val="def-(a)(1)"/>
    <w:basedOn w:val="Normal"/>
    <w:rsid w:val="008E063F"/>
    <w:pPr>
      <w:tabs>
        <w:tab w:val="left" w:pos="3686"/>
        <w:tab w:val="left" w:pos="4026"/>
      </w:tabs>
      <w:spacing w:before="0"/>
      <w:ind w:left="4026" w:hanging="4026"/>
      <w:jc w:val="left"/>
    </w:pPr>
    <w:rPr>
      <w:sz w:val="16"/>
    </w:rPr>
  </w:style>
  <w:style w:type="paragraph" w:customStyle="1" w:styleId="boldhead">
    <w:name w:val="boldhead"/>
    <w:basedOn w:val="Normal"/>
    <w:rsid w:val="008E063F"/>
    <w:pPr>
      <w:tabs>
        <w:tab w:val="left" w:pos="567"/>
      </w:tabs>
      <w:spacing w:before="240"/>
      <w:ind w:left="567" w:hanging="567"/>
    </w:pPr>
    <w:rPr>
      <w:b/>
    </w:rPr>
  </w:style>
  <w:style w:type="paragraph" w:customStyle="1" w:styleId="level1">
    <w:name w:val="level1"/>
    <w:basedOn w:val="Normal"/>
    <w:rsid w:val="008E063F"/>
    <w:pPr>
      <w:tabs>
        <w:tab w:val="right" w:leader="dot" w:pos="7938"/>
      </w:tabs>
      <w:spacing w:before="0"/>
      <w:ind w:left="851" w:hanging="567"/>
      <w:jc w:val="left"/>
    </w:pPr>
    <w:rPr>
      <w:sz w:val="16"/>
    </w:rPr>
  </w:style>
  <w:style w:type="paragraph" w:customStyle="1" w:styleId="level0">
    <w:name w:val="level0"/>
    <w:basedOn w:val="Normal"/>
    <w:rsid w:val="008E063F"/>
    <w:pPr>
      <w:tabs>
        <w:tab w:val="right" w:leader="dot" w:pos="7938"/>
      </w:tabs>
    </w:pPr>
    <w:rPr>
      <w:b/>
      <w:sz w:val="16"/>
    </w:rPr>
  </w:style>
  <w:style w:type="paragraph" w:customStyle="1" w:styleId="AlphaHead">
    <w:name w:val="AlphaHead"/>
    <w:basedOn w:val="Normal"/>
    <w:rsid w:val="008E063F"/>
    <w:pPr>
      <w:spacing w:before="360"/>
      <w:jc w:val="center"/>
    </w:pPr>
    <w:rPr>
      <w:b/>
      <w:sz w:val="16"/>
    </w:rPr>
  </w:style>
  <w:style w:type="paragraph" w:customStyle="1" w:styleId="NormalText">
    <w:name w:val="NormalText"/>
    <w:basedOn w:val="Normal"/>
    <w:rsid w:val="008E063F"/>
  </w:style>
  <w:style w:type="paragraph" w:customStyle="1" w:styleId="parafullout">
    <w:name w:val="parafullout"/>
    <w:basedOn w:val="Normal"/>
    <w:rsid w:val="008E063F"/>
  </w:style>
  <w:style w:type="paragraph" w:customStyle="1" w:styleId="i-hang">
    <w:name w:val="(i)-hang"/>
    <w:basedOn w:val="Normal"/>
    <w:rsid w:val="008E063F"/>
    <w:pPr>
      <w:tabs>
        <w:tab w:val="right" w:pos="567"/>
        <w:tab w:val="left" w:pos="737"/>
      </w:tabs>
      <w:ind w:left="737" w:hanging="737"/>
    </w:pPr>
  </w:style>
  <w:style w:type="paragraph" w:customStyle="1" w:styleId="aa-00ai">
    <w:name w:val="(aa)-00(a)(i)"/>
    <w:basedOn w:val="Normal"/>
    <w:rsid w:val="008E063F"/>
    <w:pPr>
      <w:tabs>
        <w:tab w:val="left" w:pos="1928"/>
        <w:tab w:val="left" w:pos="2495"/>
      </w:tabs>
      <w:ind w:left="2495" w:hanging="2495"/>
    </w:pPr>
  </w:style>
  <w:style w:type="paragraph" w:customStyle="1" w:styleId="i-000">
    <w:name w:val="(i)-0.00"/>
    <w:basedOn w:val="Normal"/>
    <w:rsid w:val="008E063F"/>
    <w:pPr>
      <w:tabs>
        <w:tab w:val="right" w:pos="1191"/>
        <w:tab w:val="left" w:pos="1361"/>
      </w:tabs>
      <w:ind w:left="1361" w:hanging="1361"/>
    </w:pPr>
  </w:style>
  <w:style w:type="paragraph" w:customStyle="1" w:styleId="bullet-000a">
    <w:name w:val="bullet-0.00(a)"/>
    <w:basedOn w:val="Normal"/>
    <w:rsid w:val="008E063F"/>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8E063F"/>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8E063F"/>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8E063F"/>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8E063F"/>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8E063F"/>
    <w:pPr>
      <w:widowControl/>
      <w:tabs>
        <w:tab w:val="left" w:pos="340"/>
      </w:tabs>
      <w:spacing w:before="0"/>
      <w:ind w:left="340" w:hanging="340"/>
    </w:pPr>
    <w:rPr>
      <w:sz w:val="16"/>
    </w:rPr>
  </w:style>
  <w:style w:type="paragraph" w:customStyle="1" w:styleId="000ai1">
    <w:name w:val="0.00(a)(i)(1)"/>
    <w:basedOn w:val="Normal"/>
    <w:rsid w:val="008E063F"/>
    <w:pPr>
      <w:widowControl/>
      <w:tabs>
        <w:tab w:val="left" w:pos="1928"/>
        <w:tab w:val="left" w:pos="2438"/>
      </w:tabs>
      <w:ind w:left="2438" w:hanging="2438"/>
    </w:pPr>
  </w:style>
  <w:style w:type="paragraph" w:customStyle="1" w:styleId="000ai1aa">
    <w:name w:val="0.00(a)(i)(1)(aa)"/>
    <w:basedOn w:val="Normal"/>
    <w:rsid w:val="008E063F"/>
    <w:pPr>
      <w:widowControl/>
      <w:tabs>
        <w:tab w:val="left" w:pos="2438"/>
        <w:tab w:val="left" w:pos="3005"/>
      </w:tabs>
      <w:ind w:left="3005" w:hanging="3005"/>
    </w:pPr>
  </w:style>
  <w:style w:type="paragraph" w:customStyle="1" w:styleId="000-aisl">
    <w:name w:val="0.00-(a)(i)sl"/>
    <w:basedOn w:val="Normal"/>
    <w:rsid w:val="008E063F"/>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8E063F"/>
    <w:pPr>
      <w:tabs>
        <w:tab w:val="left" w:pos="1928"/>
        <w:tab w:val="left" w:pos="2438"/>
      </w:tabs>
      <w:ind w:left="2438" w:hanging="2438"/>
    </w:pPr>
  </w:style>
  <w:style w:type="paragraph" w:customStyle="1" w:styleId="1-000a">
    <w:name w:val="(1)-0.00(a)"/>
    <w:basedOn w:val="Normal"/>
    <w:rsid w:val="008E063F"/>
    <w:pPr>
      <w:tabs>
        <w:tab w:val="left" w:pos="1304"/>
        <w:tab w:val="left" w:pos="1871"/>
        <w:tab w:val="left" w:pos="2268"/>
      </w:tabs>
      <w:ind w:left="1871" w:hanging="1871"/>
    </w:p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paragraph" w:customStyle="1" w:styleId="level2">
    <w:name w:val="level2"/>
    <w:basedOn w:val="Normal"/>
    <w:rsid w:val="008E063F"/>
    <w:pPr>
      <w:tabs>
        <w:tab w:val="right" w:leader="dot" w:pos="7938"/>
      </w:tabs>
      <w:spacing w:before="0"/>
      <w:ind w:left="1134" w:hanging="567"/>
      <w:jc w:val="left"/>
    </w:pPr>
    <w:rPr>
      <w:sz w:val="16"/>
    </w:rPr>
  </w:style>
  <w:style w:type="paragraph" w:customStyle="1" w:styleId="level3">
    <w:name w:val="level3"/>
    <w:basedOn w:val="Normal"/>
    <w:rsid w:val="008E063F"/>
    <w:pPr>
      <w:tabs>
        <w:tab w:val="right" w:leader="dot" w:pos="7938"/>
      </w:tabs>
      <w:spacing w:before="0"/>
      <w:ind w:left="1418" w:hanging="567"/>
      <w:jc w:val="left"/>
    </w:pPr>
    <w:rPr>
      <w:sz w:val="16"/>
    </w:rPr>
  </w:style>
  <w:style w:type="paragraph" w:customStyle="1" w:styleId="level4">
    <w:name w:val="level4"/>
    <w:basedOn w:val="Normal"/>
    <w:rsid w:val="008E063F"/>
    <w:pPr>
      <w:tabs>
        <w:tab w:val="right" w:leader="dot" w:pos="7938"/>
      </w:tabs>
      <w:spacing w:before="0"/>
      <w:ind w:left="1701" w:hanging="567"/>
    </w:pPr>
    <w:rPr>
      <w:sz w:val="16"/>
    </w:rPr>
  </w:style>
  <w:style w:type="paragraph" w:customStyle="1" w:styleId="0000-00001">
    <w:name w:val="00.0.0-00.00"/>
    <w:basedOn w:val="Normal"/>
    <w:rsid w:val="008E063F"/>
    <w:pPr>
      <w:tabs>
        <w:tab w:val="left" w:pos="794"/>
        <w:tab w:val="left" w:pos="1588"/>
      </w:tabs>
      <w:ind w:left="1588" w:hanging="1588"/>
    </w:pPr>
  </w:style>
  <w:style w:type="paragraph" w:customStyle="1" w:styleId="1-indent">
    <w:name w:val="1-indent"/>
    <w:basedOn w:val="Normal"/>
    <w:rsid w:val="008E063F"/>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8E063F"/>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8E063F"/>
    <w:pPr>
      <w:spacing w:before="0"/>
    </w:pPr>
    <w:rPr>
      <w:sz w:val="16"/>
    </w:rPr>
  </w:style>
  <w:style w:type="paragraph" w:styleId="FootnoteText">
    <w:name w:val="footnote text"/>
    <w:basedOn w:val="Normal"/>
    <w:semiHidden/>
    <w:rPr>
      <w:sz w:val="20"/>
    </w:rPr>
  </w:style>
  <w:style w:type="character" w:customStyle="1" w:styleId="a-000Char">
    <w:name w:val="(a)-0.00 Char"/>
    <w:rPr>
      <w:rFonts w:ascii="Verdana" w:hAnsi="Verdana"/>
      <w:noProof w:val="0"/>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8819-97F1-40AD-B158-C106176C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3</TotalTime>
  <Pages>6</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Alwyn Fouchee</cp:lastModifiedBy>
  <cp:revision>5</cp:revision>
  <cp:lastPrinted>2010-02-11T17:17:00Z</cp:lastPrinted>
  <dcterms:created xsi:type="dcterms:W3CDTF">2024-05-22T12:32:00Z</dcterms:created>
  <dcterms:modified xsi:type="dcterms:W3CDTF">2024-07-11T14:12:00Z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2024-06-13T06:57:03Z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59e30208-55d9-4146-9556-e6ac459f8cb5</vt:lpwstr>
  </property>
  <property fmtid="{D5CDD505-2E9C-101B-9397-08002B2CF9AE}" pid="8" name="MSIP_Label_ce93fc94-2a04-4870-acee-9c0cd4b7d590_ContentBits">
    <vt:lpwstr>0</vt:lpwstr>
  </property>
</Properties>
</file>